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2B5E" w14:textId="3075F29F" w:rsidR="00404A78" w:rsidRDefault="10797BA3" w:rsidP="10797BA3">
      <w:pPr>
        <w:jc w:val="center"/>
        <w:rPr>
          <w:rFonts w:ascii="Calibri" w:eastAsia="Calibri" w:hAnsi="Calibri" w:cs="Calibri"/>
          <w:color w:val="000000" w:themeColor="text1"/>
        </w:rPr>
      </w:pPr>
      <w:r w:rsidRPr="10797BA3">
        <w:rPr>
          <w:rFonts w:ascii="Calibri" w:eastAsia="Calibri" w:hAnsi="Calibri" w:cs="Calibri"/>
          <w:color w:val="000000" w:themeColor="text1"/>
        </w:rPr>
        <w:t>Title:  Evaluation of Steroid-Induced Hyperglycemia in Non-Diabetic Patients Hospitalized with COVID-19</w:t>
      </w:r>
    </w:p>
    <w:p w14:paraId="06D8F960" w14:textId="0491EFC7" w:rsidR="00404A78" w:rsidRDefault="10797BA3" w:rsidP="10797BA3">
      <w:pPr>
        <w:rPr>
          <w:rFonts w:ascii="Calibri" w:eastAsia="Calibri" w:hAnsi="Calibri" w:cs="Calibri"/>
          <w:color w:val="000000" w:themeColor="text1"/>
        </w:rPr>
      </w:pPr>
      <w:r w:rsidRPr="10797BA3">
        <w:rPr>
          <w:rFonts w:ascii="Calibri" w:eastAsia="Calibri" w:hAnsi="Calibri" w:cs="Calibri"/>
          <w:color w:val="000000" w:themeColor="text1"/>
        </w:rPr>
        <w:t xml:space="preserve">Authors:  Emily Woodfield, PharmD, Chase Barnes, PharmD, Charlene </w:t>
      </w:r>
      <w:proofErr w:type="spellStart"/>
      <w:r w:rsidRPr="10797BA3">
        <w:rPr>
          <w:rFonts w:ascii="Calibri" w:eastAsia="Calibri" w:hAnsi="Calibri" w:cs="Calibri"/>
          <w:color w:val="000000" w:themeColor="text1"/>
        </w:rPr>
        <w:t>Blubaugh</w:t>
      </w:r>
      <w:proofErr w:type="spellEnd"/>
      <w:r w:rsidRPr="10797BA3">
        <w:rPr>
          <w:rFonts w:ascii="Calibri" w:eastAsia="Calibri" w:hAnsi="Calibri" w:cs="Calibri"/>
          <w:color w:val="000000" w:themeColor="text1"/>
        </w:rPr>
        <w:t>, PharmD, BCPS, Miranda Thomas, PharmD</w:t>
      </w:r>
      <w:r w:rsidR="00882235">
        <w:rPr>
          <w:rFonts w:ascii="Calibri" w:eastAsia="Calibri" w:hAnsi="Calibri" w:cs="Calibri"/>
          <w:color w:val="000000" w:themeColor="text1"/>
        </w:rPr>
        <w:t xml:space="preserve">, </w:t>
      </w:r>
      <w:r w:rsidR="00882235" w:rsidRPr="10797BA3">
        <w:rPr>
          <w:rFonts w:ascii="Calibri" w:eastAsia="Calibri" w:hAnsi="Calibri" w:cs="Calibri"/>
          <w:color w:val="000000" w:themeColor="text1"/>
        </w:rPr>
        <w:t>Tamara Davidson, PharmD, BCPS</w:t>
      </w:r>
    </w:p>
    <w:p w14:paraId="35040F7F" w14:textId="127C5E74" w:rsidR="00404A78" w:rsidRDefault="10797BA3" w:rsidP="10797BA3">
      <w:pPr>
        <w:rPr>
          <w:rFonts w:ascii="Calibri" w:eastAsia="Calibri" w:hAnsi="Calibri" w:cs="Calibri"/>
          <w:color w:val="000000" w:themeColor="text1"/>
        </w:rPr>
      </w:pPr>
      <w:r w:rsidRPr="10797BA3">
        <w:rPr>
          <w:rFonts w:ascii="Calibri" w:eastAsia="Calibri" w:hAnsi="Calibri" w:cs="Calibri"/>
          <w:color w:val="000000" w:themeColor="text1"/>
        </w:rPr>
        <w:t>Background:  Dexamethasone has become part of standard therapy in treating COVID-19, as it reduces 28-day mortality in patients who have received supplemental oxygen or mechanical ventilation. All steroids can increase blood glucose, resulting in steroid-induced hyperglycemia. The purpose of this study was to characterize the effects of steroids on glucose control and insulin therapy in patients without diabetes admitted to the hospital with COVID-19.</w:t>
      </w:r>
    </w:p>
    <w:p w14:paraId="2CE33B39" w14:textId="41C8BDB5" w:rsidR="00404A78" w:rsidRDefault="10797BA3" w:rsidP="7799C35B">
      <w:pPr>
        <w:rPr>
          <w:rFonts w:ascii="Calibri" w:eastAsia="Calibri" w:hAnsi="Calibri" w:cs="Calibri"/>
          <w:color w:val="000000" w:themeColor="text1"/>
        </w:rPr>
      </w:pPr>
      <w:r w:rsidRPr="7799C35B">
        <w:rPr>
          <w:rFonts w:ascii="Calibri" w:eastAsia="Calibri" w:hAnsi="Calibri" w:cs="Calibri"/>
          <w:color w:val="000000" w:themeColor="text1"/>
        </w:rPr>
        <w:t>Methods:  This</w:t>
      </w:r>
      <w:r w:rsidRPr="2FB67613">
        <w:rPr>
          <w:rFonts w:ascii="Calibri" w:eastAsia="Calibri" w:hAnsi="Calibri" w:cs="Calibri"/>
          <w:color w:val="000000" w:themeColor="text1"/>
        </w:rPr>
        <w:t xml:space="preserve"> retrospective</w:t>
      </w:r>
      <w:r w:rsidRPr="7799C35B">
        <w:rPr>
          <w:rFonts w:ascii="Calibri" w:eastAsia="Calibri" w:hAnsi="Calibri" w:cs="Calibri"/>
          <w:color w:val="000000" w:themeColor="text1"/>
        </w:rPr>
        <w:t xml:space="preserve"> cross-sectional study included 150 adult patients that received at least one dose of dexamethasone, hydrocortisone, methylprednisolone, or prednisone, and had a positive COVID-19 test within 30 days of admission to Carilion Roanoke Memorial Hospital between October 1, </w:t>
      </w:r>
      <w:proofErr w:type="gramStart"/>
      <w:r w:rsidRPr="7799C35B">
        <w:rPr>
          <w:rFonts w:ascii="Calibri" w:eastAsia="Calibri" w:hAnsi="Calibri" w:cs="Calibri"/>
          <w:color w:val="000000" w:themeColor="text1"/>
        </w:rPr>
        <w:t>2020</w:t>
      </w:r>
      <w:proofErr w:type="gramEnd"/>
      <w:r w:rsidRPr="7799C35B">
        <w:rPr>
          <w:rFonts w:ascii="Calibri" w:eastAsia="Calibri" w:hAnsi="Calibri" w:cs="Calibri"/>
          <w:color w:val="000000" w:themeColor="text1"/>
        </w:rPr>
        <w:t xml:space="preserve"> and March 31, 2021. Th</w:t>
      </w:r>
      <w:r w:rsidR="00D707F1">
        <w:rPr>
          <w:rFonts w:ascii="Calibri" w:eastAsia="Calibri" w:hAnsi="Calibri" w:cs="Calibri"/>
          <w:color w:val="000000" w:themeColor="text1"/>
        </w:rPr>
        <w:t xml:space="preserve">e study </w:t>
      </w:r>
      <w:r w:rsidRPr="7799C35B">
        <w:rPr>
          <w:rFonts w:ascii="Calibri" w:eastAsia="Calibri" w:hAnsi="Calibri" w:cs="Calibri"/>
          <w:color w:val="000000" w:themeColor="text1"/>
        </w:rPr>
        <w:t xml:space="preserve">was deemed a Health Care Delivery Improvement Project and therefore was not reviewed as human </w:t>
      </w:r>
      <w:proofErr w:type="gramStart"/>
      <w:r w:rsidRPr="7799C35B">
        <w:rPr>
          <w:rFonts w:ascii="Calibri" w:eastAsia="Calibri" w:hAnsi="Calibri" w:cs="Calibri"/>
          <w:color w:val="000000" w:themeColor="text1"/>
        </w:rPr>
        <w:t>subjects</w:t>
      </w:r>
      <w:proofErr w:type="gramEnd"/>
      <w:r w:rsidRPr="7799C35B">
        <w:rPr>
          <w:rFonts w:ascii="Calibri" w:eastAsia="Calibri" w:hAnsi="Calibri" w:cs="Calibri"/>
          <w:color w:val="000000" w:themeColor="text1"/>
        </w:rPr>
        <w:t xml:space="preserve"> research. Patients were excluded if they had diabetes, were pregnant, </w:t>
      </w:r>
      <w:r w:rsidR="007D7665">
        <w:rPr>
          <w:rFonts w:ascii="Calibri" w:eastAsia="Calibri" w:hAnsi="Calibri" w:cs="Calibri"/>
          <w:color w:val="000000" w:themeColor="text1"/>
        </w:rPr>
        <w:t>placed on</w:t>
      </w:r>
      <w:r w:rsidRPr="7799C35B">
        <w:rPr>
          <w:rFonts w:ascii="Calibri" w:eastAsia="Calibri" w:hAnsi="Calibri" w:cs="Calibri"/>
          <w:color w:val="000000" w:themeColor="text1"/>
        </w:rPr>
        <w:t xml:space="preserve"> extracorporeal membrane oxygenation, or </w:t>
      </w:r>
      <w:r w:rsidR="00C53A64">
        <w:rPr>
          <w:rFonts w:ascii="Calibri" w:eastAsia="Calibri" w:hAnsi="Calibri" w:cs="Calibri"/>
          <w:color w:val="000000" w:themeColor="text1"/>
        </w:rPr>
        <w:t>received</w:t>
      </w:r>
      <w:r w:rsidRPr="7799C35B">
        <w:rPr>
          <w:rFonts w:ascii="Calibri" w:eastAsia="Calibri" w:hAnsi="Calibri" w:cs="Calibri"/>
          <w:color w:val="000000" w:themeColor="text1"/>
        </w:rPr>
        <w:t xml:space="preserve"> steroids in the week prior to admission. The primary endpoint was incidence of steroid-induced hyperglycemia characterized by a blood glucose of 200 mg/dL or greater. Secondary endpoints were characterization of steroid and insulin therapies.</w:t>
      </w:r>
    </w:p>
    <w:p w14:paraId="32D53F83" w14:textId="2085CA06" w:rsidR="00404A78" w:rsidRDefault="10797BA3" w:rsidP="10797BA3">
      <w:pPr>
        <w:rPr>
          <w:rFonts w:ascii="Calibri" w:eastAsia="Calibri" w:hAnsi="Calibri" w:cs="Calibri"/>
          <w:color w:val="000000" w:themeColor="text1"/>
        </w:rPr>
      </w:pPr>
      <w:r w:rsidRPr="10797BA3">
        <w:rPr>
          <w:rFonts w:ascii="Calibri" w:eastAsia="Calibri" w:hAnsi="Calibri" w:cs="Calibri"/>
          <w:color w:val="000000" w:themeColor="text1"/>
        </w:rPr>
        <w:t xml:space="preserve">Results: The primary outcome occurred in 43 </w:t>
      </w:r>
      <w:r w:rsidRPr="10797BA3">
        <w:rPr>
          <w:rFonts w:ascii="Calibri" w:eastAsia="Calibri" w:hAnsi="Calibri" w:cs="Calibri"/>
        </w:rPr>
        <w:t xml:space="preserve">out of 150 </w:t>
      </w:r>
      <w:r w:rsidRPr="10797BA3">
        <w:rPr>
          <w:rFonts w:ascii="Calibri" w:eastAsia="Calibri" w:hAnsi="Calibri" w:cs="Calibri"/>
          <w:color w:val="000000" w:themeColor="text1"/>
        </w:rPr>
        <w:t>patients (28.7%). Of those 43 patients, 23 received at least one dose of insulin to treat steroid-induced hyperglycemia, and two patients received an insulin drip during steroid therapy. In patients who received insulin, the mean total daily dose of insulin while receiving and after completion of steroid therapy, was found to be 0.14 units/kg/day and 0.13 units/kg/day, respectively. There were three episodes of hypoglycemia documented.</w:t>
      </w:r>
    </w:p>
    <w:p w14:paraId="17E8946C" w14:textId="3B08335B" w:rsidR="00404A78" w:rsidRDefault="10797BA3" w:rsidP="10797BA3">
      <w:pPr>
        <w:rPr>
          <w:rFonts w:ascii="Calibri" w:eastAsia="Calibri" w:hAnsi="Calibri" w:cs="Calibri"/>
          <w:color w:val="000000" w:themeColor="text1"/>
        </w:rPr>
      </w:pPr>
      <w:r w:rsidRPr="10797BA3">
        <w:rPr>
          <w:rFonts w:ascii="Calibri" w:eastAsia="Calibri" w:hAnsi="Calibri" w:cs="Calibri"/>
          <w:color w:val="000000" w:themeColor="text1"/>
        </w:rPr>
        <w:t>Conclusion: It is important for patients, regardless of a diagnosis of diabetes mellitus, to have</w:t>
      </w:r>
      <w:r w:rsidR="00B960B0">
        <w:rPr>
          <w:rFonts w:ascii="Calibri" w:eastAsia="Calibri" w:hAnsi="Calibri" w:cs="Calibri"/>
          <w:color w:val="000000" w:themeColor="text1"/>
        </w:rPr>
        <w:t xml:space="preserve"> </w:t>
      </w:r>
      <w:r w:rsidRPr="10797BA3">
        <w:rPr>
          <w:rFonts w:ascii="Calibri" w:eastAsia="Calibri" w:hAnsi="Calibri" w:cs="Calibri"/>
          <w:color w:val="000000" w:themeColor="text1"/>
        </w:rPr>
        <w:t>monitoring of glucose while receiving steroids for the treatment of COVID-19.</w:t>
      </w:r>
    </w:p>
    <w:p w14:paraId="2C078E63" w14:textId="06707383" w:rsidR="00404A78" w:rsidRDefault="00404A78" w:rsidP="10797BA3"/>
    <w:sectPr w:rsidR="0040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C8DAC"/>
    <w:rsid w:val="001160F9"/>
    <w:rsid w:val="00404A78"/>
    <w:rsid w:val="006D57EF"/>
    <w:rsid w:val="007D7665"/>
    <w:rsid w:val="00882235"/>
    <w:rsid w:val="008C0A31"/>
    <w:rsid w:val="00B960B0"/>
    <w:rsid w:val="00C53A64"/>
    <w:rsid w:val="00D707F1"/>
    <w:rsid w:val="00F51816"/>
    <w:rsid w:val="00F865D5"/>
    <w:rsid w:val="00FD269A"/>
    <w:rsid w:val="057C8DAC"/>
    <w:rsid w:val="0A295882"/>
    <w:rsid w:val="0BC528E3"/>
    <w:rsid w:val="0D6F84F4"/>
    <w:rsid w:val="10797BA3"/>
    <w:rsid w:val="14F56E58"/>
    <w:rsid w:val="19ABDB7B"/>
    <w:rsid w:val="2FB67613"/>
    <w:rsid w:val="367ADAD9"/>
    <w:rsid w:val="4986ECA1"/>
    <w:rsid w:val="4B29572B"/>
    <w:rsid w:val="4D4F0706"/>
    <w:rsid w:val="59046507"/>
    <w:rsid w:val="731D0F73"/>
    <w:rsid w:val="767631FB"/>
    <w:rsid w:val="7799C35B"/>
    <w:rsid w:val="7BC84DF5"/>
    <w:rsid w:val="7E73F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8DAC"/>
  <w15:chartTrackingRefBased/>
  <w15:docId w15:val="{A047B66D-52E8-46BD-B80A-98A85E53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C0A31"/>
    <w:pPr>
      <w:spacing w:line="240" w:lineRule="auto"/>
    </w:pPr>
    <w:rPr>
      <w:sz w:val="20"/>
      <w:szCs w:val="20"/>
    </w:rPr>
  </w:style>
  <w:style w:type="character" w:customStyle="1" w:styleId="CommentTextChar">
    <w:name w:val="Comment Text Char"/>
    <w:basedOn w:val="DefaultParagraphFont"/>
    <w:link w:val="CommentText"/>
    <w:uiPriority w:val="99"/>
    <w:semiHidden/>
    <w:rsid w:val="008C0A31"/>
    <w:rPr>
      <w:sz w:val="20"/>
      <w:szCs w:val="20"/>
    </w:rPr>
  </w:style>
  <w:style w:type="character" w:styleId="CommentReference">
    <w:name w:val="annotation reference"/>
    <w:basedOn w:val="DefaultParagraphFont"/>
    <w:uiPriority w:val="99"/>
    <w:semiHidden/>
    <w:unhideWhenUsed/>
    <w:rsid w:val="008C0A31"/>
    <w:rPr>
      <w:sz w:val="16"/>
      <w:szCs w:val="16"/>
    </w:rPr>
  </w:style>
  <w:style w:type="paragraph" w:styleId="CommentSubject">
    <w:name w:val="annotation subject"/>
    <w:basedOn w:val="CommentText"/>
    <w:next w:val="CommentText"/>
    <w:link w:val="CommentSubjectChar"/>
    <w:uiPriority w:val="99"/>
    <w:semiHidden/>
    <w:unhideWhenUsed/>
    <w:rsid w:val="00F865D5"/>
    <w:rPr>
      <w:b/>
      <w:bCs/>
    </w:rPr>
  </w:style>
  <w:style w:type="character" w:customStyle="1" w:styleId="CommentSubjectChar">
    <w:name w:val="Comment Subject Char"/>
    <w:basedOn w:val="CommentTextChar"/>
    <w:link w:val="CommentSubject"/>
    <w:uiPriority w:val="99"/>
    <w:semiHidden/>
    <w:rsid w:val="00F865D5"/>
    <w:rPr>
      <w:b/>
      <w:bCs/>
      <w:sz w:val="20"/>
      <w:szCs w:val="20"/>
    </w:rPr>
  </w:style>
  <w:style w:type="character" w:styleId="UnresolvedMention">
    <w:name w:val="Unresolved Mention"/>
    <w:basedOn w:val="DefaultParagraphFont"/>
    <w:uiPriority w:val="99"/>
    <w:unhideWhenUsed/>
    <w:rsid w:val="00F865D5"/>
    <w:rPr>
      <w:color w:val="605E5C"/>
      <w:shd w:val="clear" w:color="auto" w:fill="E1DFDD"/>
    </w:rPr>
  </w:style>
  <w:style w:type="character" w:styleId="Mention">
    <w:name w:val="Mention"/>
    <w:basedOn w:val="DefaultParagraphFont"/>
    <w:uiPriority w:val="99"/>
    <w:unhideWhenUsed/>
    <w:rsid w:val="00F865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AB4471E20CB45803C5B7AA2603812" ma:contentTypeVersion="4" ma:contentTypeDescription="Create a new document." ma:contentTypeScope="" ma:versionID="0dd03fbe62a3b1df43ab1a39c6a43ac6">
  <xsd:schema xmlns:xsd="http://www.w3.org/2001/XMLSchema" xmlns:xs="http://www.w3.org/2001/XMLSchema" xmlns:p="http://schemas.microsoft.com/office/2006/metadata/properties" xmlns:ns2="ecadfffc-dde2-4eb7-ab30-65e07d7f0550" targetNamespace="http://schemas.microsoft.com/office/2006/metadata/properties" ma:root="true" ma:fieldsID="a82977c28764c550359fdcc24902274d" ns2:_="">
    <xsd:import namespace="ecadfffc-dde2-4eb7-ab30-65e07d7f0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fffc-dde2-4eb7-ab30-65e07d7f0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0787A-3791-4709-83CA-623D92085D9D}">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ecadfffc-dde2-4eb7-ab30-65e07d7f0550"/>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100A36E-7B79-4A92-87D9-ABE3FE7C1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fffc-dde2-4eb7-ab30-65e07d7f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FE602-EA95-40D0-8355-BF3D9B732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Woodfield, Emily A. (Emily)</dc:creator>
  <cp:keywords/>
  <dc:description/>
  <cp:lastModifiedBy>Woodfield, Emily A. (Emily)</cp:lastModifiedBy>
  <cp:revision>2</cp:revision>
  <dcterms:created xsi:type="dcterms:W3CDTF">2022-05-06T01:12:00Z</dcterms:created>
  <dcterms:modified xsi:type="dcterms:W3CDTF">2022-05-06T01:12:00Z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0x010100AE8AB4471E20CB45803C5B7AA2603812</vt:lpwstr>
  </property>
</Properties>
</file>