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8E" w:rsidRDefault="004D53FC" w:rsidP="00B87883">
      <w:pPr>
        <w:jc w:val="center"/>
        <w:rPr>
          <w:b/>
        </w:rPr>
      </w:pPr>
      <w:r>
        <w:rPr>
          <w:b/>
        </w:rPr>
        <w:t xml:space="preserve">Pharmacist-Driven Anti-Xa Enoxaparin </w:t>
      </w:r>
      <w:r w:rsidR="00DD44B8">
        <w:rPr>
          <w:b/>
        </w:rPr>
        <w:t>Dosing</w:t>
      </w:r>
      <w:r>
        <w:rPr>
          <w:b/>
        </w:rPr>
        <w:t xml:space="preserve"> and </w:t>
      </w:r>
      <w:r w:rsidR="00DD44B8">
        <w:rPr>
          <w:b/>
        </w:rPr>
        <w:t>Monitoring</w:t>
      </w:r>
    </w:p>
    <w:p w:rsidR="004D53FC" w:rsidRPr="00BF6A44" w:rsidRDefault="004D53FC" w:rsidP="004D53FC">
      <w:r w:rsidRPr="004D53FC">
        <w:rPr>
          <w:b/>
        </w:rPr>
        <w:t>Authors:</w:t>
      </w:r>
      <w:r w:rsidR="00BF6A44">
        <w:t xml:space="preserve"> Madalyn L. Wickham, Pharm.D., </w:t>
      </w:r>
      <w:r w:rsidR="00BF6A44">
        <w:rPr>
          <w:color w:val="000000" w:themeColor="text1"/>
        </w:rPr>
        <w:t>Jacqueline L.</w:t>
      </w:r>
      <w:r w:rsidR="00300D28">
        <w:rPr>
          <w:color w:val="000000" w:themeColor="text1"/>
        </w:rPr>
        <w:t xml:space="preserve"> Olin, M.S., Pharm.D.</w:t>
      </w:r>
      <w:r w:rsidR="00BF6A44" w:rsidRPr="00D47E85">
        <w:rPr>
          <w:color w:val="000000" w:themeColor="text1"/>
        </w:rPr>
        <w:t>, BCPS, CDCES, FASHP, FCCP</w:t>
      </w:r>
      <w:r w:rsidR="00BF6A44" w:rsidRPr="00FE4C69">
        <w:rPr>
          <w:color w:val="000000" w:themeColor="text1"/>
        </w:rPr>
        <w:t>, Stacy Dalpoas, Pharm.D., MPH, BCPS</w:t>
      </w:r>
      <w:r w:rsidR="00BF6A44">
        <w:rPr>
          <w:color w:val="000000" w:themeColor="text1"/>
        </w:rPr>
        <w:t>, Ryan Kammer, Pharm.D., BCPS, CPP</w:t>
      </w:r>
    </w:p>
    <w:p w:rsidR="004D53FC" w:rsidRPr="00BF6A44" w:rsidRDefault="004D53FC" w:rsidP="004D53FC">
      <w:r w:rsidRPr="004D53FC">
        <w:rPr>
          <w:b/>
        </w:rPr>
        <w:t>Practice Site:</w:t>
      </w:r>
      <w:r w:rsidR="00BF6A44">
        <w:t xml:space="preserve"> Novant Health Forsyth Medical Center – Winston Salem, North Carolina</w:t>
      </w:r>
    </w:p>
    <w:p w:rsidR="004D53FC" w:rsidRPr="00BF6A44" w:rsidRDefault="004D53FC" w:rsidP="004D53FC">
      <w:r w:rsidRPr="004D53FC">
        <w:rPr>
          <w:b/>
        </w:rPr>
        <w:t>Background:</w:t>
      </w:r>
      <w:r w:rsidR="00BF6A44">
        <w:t xml:space="preserve"> </w:t>
      </w:r>
      <w:r w:rsidR="00F76398">
        <w:t>Nearly 900,000 people in the United States may be affected by venous</w:t>
      </w:r>
      <w:r w:rsidR="00300D28">
        <w:t xml:space="preserve"> thromboembolism (VTE) annually</w:t>
      </w:r>
      <w:r w:rsidR="00F76398">
        <w:t xml:space="preserve">, appropriate </w:t>
      </w:r>
      <w:r w:rsidR="00070B53">
        <w:t>treatment</w:t>
      </w:r>
      <w:r w:rsidR="00F76398">
        <w:t xml:space="preserve"> with </w:t>
      </w:r>
      <w:r w:rsidR="00070B53">
        <w:t xml:space="preserve">therapeutic anticoagulation is required to reduce the risk of morbidity and mortality. Therapeutic anticoagulation carries the risk of serious adverse events which can be </w:t>
      </w:r>
      <w:r w:rsidR="00300D28">
        <w:t xml:space="preserve">potentially </w:t>
      </w:r>
      <w:r w:rsidR="00070B53">
        <w:t xml:space="preserve">mitigated through monitoring. </w:t>
      </w:r>
    </w:p>
    <w:p w:rsidR="004D53FC" w:rsidRPr="00070B53" w:rsidRDefault="004D53FC" w:rsidP="004D53FC">
      <w:r w:rsidRPr="004D53FC">
        <w:rPr>
          <w:b/>
        </w:rPr>
        <w:t>Objective:</w:t>
      </w:r>
      <w:r w:rsidR="00070B53">
        <w:t xml:space="preserve"> The primary objective of this study was to evaluate </w:t>
      </w:r>
      <w:r w:rsidR="006C0C63">
        <w:t xml:space="preserve">the incidence of anti-Xa laboratory monitoring in patients receiving enoxaparin therapy, </w:t>
      </w:r>
      <w:r w:rsidR="002E79B2">
        <w:t>for which monitoring is deemed appropriate by the</w:t>
      </w:r>
      <w:r w:rsidR="00300D28">
        <w:t xml:space="preserve"> manufacturer’s prescribing information</w:t>
      </w:r>
      <w:r w:rsidR="002E79B2">
        <w:t xml:space="preserve">. </w:t>
      </w:r>
      <w:r w:rsidR="00070B53">
        <w:t xml:space="preserve"> </w:t>
      </w:r>
    </w:p>
    <w:p w:rsidR="004D53FC" w:rsidRPr="00B448B6" w:rsidRDefault="004D53FC" w:rsidP="004D53FC">
      <w:r w:rsidRPr="004D53FC">
        <w:rPr>
          <w:b/>
        </w:rPr>
        <w:t>Methods:</w:t>
      </w:r>
      <w:r w:rsidR="00B448B6">
        <w:t xml:space="preserve"> This was a retrospective cohort study conducted across all Novant Health facilities in North Carolina and Virginia. Pati</w:t>
      </w:r>
      <w:r w:rsidR="00300D28">
        <w:t xml:space="preserve">ents were included if they </w:t>
      </w:r>
      <w:r w:rsidR="00B448B6">
        <w:t>were</w:t>
      </w:r>
      <w:r w:rsidR="00300D28">
        <w:t xml:space="preserve"> prescribed enoxaparin, and</w:t>
      </w:r>
      <w:r w:rsidR="00B448B6">
        <w:t xml:space="preserve"> determined to be a candidate for anti-Xa laboratory monitorin</w:t>
      </w:r>
      <w:r w:rsidR="00300D28">
        <w:t>g based on the following criteria</w:t>
      </w:r>
      <w:r w:rsidR="00B448B6">
        <w:t>: (1) body mass index greater than or equal to 40 kg/m</w:t>
      </w:r>
      <w:r w:rsidR="00B448B6">
        <w:rPr>
          <w:vertAlign w:val="superscript"/>
        </w:rPr>
        <w:t>2</w:t>
      </w:r>
      <w:r w:rsidR="00300D28">
        <w:t>;</w:t>
      </w:r>
      <w:r w:rsidR="00B448B6">
        <w:t xml:space="preserve"> (2) total body weight greater than or equal t</w:t>
      </w:r>
      <w:r w:rsidR="00300D28">
        <w:t xml:space="preserve">o 120 kg or less than 50 kg; </w:t>
      </w:r>
      <w:bookmarkStart w:id="0" w:name="_GoBack"/>
      <w:bookmarkEnd w:id="0"/>
      <w:r w:rsidR="00B448B6">
        <w:t xml:space="preserve">(3) estimated creatinine clearance less than 30 mL/min. </w:t>
      </w:r>
      <w:r w:rsidR="008A6108">
        <w:t xml:space="preserve">Participants were then randomized into two groups based on their subsequent dose adjustments performed by pharmacists upon the result of an anti-Xa level where the control group did not require dose adjustment, and the experimental group required dose adjustment. </w:t>
      </w:r>
    </w:p>
    <w:p w:rsidR="004D53FC" w:rsidRPr="008A6108" w:rsidRDefault="004D53FC" w:rsidP="004D53FC">
      <w:r w:rsidRPr="004D53FC">
        <w:rPr>
          <w:b/>
        </w:rPr>
        <w:t>Preliminary Results:</w:t>
      </w:r>
      <w:r w:rsidR="008A6108">
        <w:t xml:space="preserve"> </w:t>
      </w:r>
      <w:r w:rsidR="00760152">
        <w:t xml:space="preserve">A total of 30 patients were included in this study, 15 patients were assigned to both the control and experimental group. </w:t>
      </w:r>
      <w:r w:rsidR="000F5A75">
        <w:t xml:space="preserve">All patients were treated with therapeutic enoxaparin (1mg/kg q12h) initially. </w:t>
      </w:r>
      <w:r w:rsidR="00B8718F">
        <w:t>Both groups consisted of mostly male subjects 66.6% and 60%</w:t>
      </w:r>
      <w:r w:rsidR="000F5A75">
        <w:t>, with an average age of 63 years and 68 years,</w:t>
      </w:r>
      <w:r w:rsidR="00B8718F">
        <w:t xml:space="preserve"> respectively</w:t>
      </w:r>
      <w:r w:rsidR="000F5A75">
        <w:t>.</w:t>
      </w:r>
      <w:r w:rsidR="005242BF">
        <w:t xml:space="preserve"> The control group included 46.6% of patients with a BMI greater than or equal to 40 kg/</w:t>
      </w:r>
      <w:r w:rsidR="005242BF" w:rsidRPr="005242BF">
        <w:t>m</w:t>
      </w:r>
      <w:r w:rsidR="005242BF">
        <w:rPr>
          <w:vertAlign w:val="superscript"/>
        </w:rPr>
        <w:t>2</w:t>
      </w:r>
      <w:r w:rsidR="005242BF">
        <w:t xml:space="preserve"> (n=7), </w:t>
      </w:r>
      <w:r w:rsidR="005242BF" w:rsidRPr="005242BF">
        <w:t>33</w:t>
      </w:r>
      <w:r w:rsidR="005242BF">
        <w:t>.3% of patients with an estimated creatinine clearance of less than or equal to 30 mL/min (n=5), and 20% with a total body weight less than 50 kg (n=3). The experimental group included 53.3% of patients with a BMI of greater than or equal to 40 kg/</w:t>
      </w:r>
      <w:r w:rsidR="005242BF" w:rsidRPr="005242BF">
        <w:t>m</w:t>
      </w:r>
      <w:r w:rsidR="005242BF">
        <w:rPr>
          <w:vertAlign w:val="superscript"/>
        </w:rPr>
        <w:t>2</w:t>
      </w:r>
      <w:r w:rsidR="005242BF">
        <w:t xml:space="preserve"> (n=8), </w:t>
      </w:r>
      <w:r w:rsidR="001D6F19">
        <w:t>33.3</w:t>
      </w:r>
      <w:r w:rsidR="005242BF">
        <w:t xml:space="preserve">% of patients with an estimated creatinine clearance of less than or equal to 30 mL/min (n=5), and </w:t>
      </w:r>
      <w:r w:rsidR="001D6F19">
        <w:t>13.3</w:t>
      </w:r>
      <w:r w:rsidR="005242BF">
        <w:t>% with a total body weight less than 50 kg</w:t>
      </w:r>
      <w:r w:rsidR="001D6F19">
        <w:t xml:space="preserve"> (n=2</w:t>
      </w:r>
      <w:r w:rsidR="005242BF">
        <w:t>).</w:t>
      </w:r>
      <w:r w:rsidR="001D6F19">
        <w:t xml:space="preserve"> </w:t>
      </w:r>
      <w:r w:rsidR="008A3CEE">
        <w:t xml:space="preserve">The incidence of the primary outcome of anti-Xa monitoring was 1.53 (SD, </w:t>
      </w:r>
      <w:r w:rsidR="008A3CEE" w:rsidRPr="008A3CEE">
        <w:t xml:space="preserve">± </w:t>
      </w:r>
      <w:r w:rsidR="008A3CEE">
        <w:t xml:space="preserve">0.52) for the control group and 2.8 (SD, </w:t>
      </w:r>
      <w:r w:rsidR="008A3CEE" w:rsidRPr="008A3CEE">
        <w:t>± 1.1</w:t>
      </w:r>
      <w:r w:rsidR="008A3CEE">
        <w:t>) for the experimental group (p=0.0033). The secondary outcome of the incidence of repeat levels that resulted within goal range was 47.6% in the experimental group (p=0.464). Additionally, t</w:t>
      </w:r>
      <w:r w:rsidR="008473D2">
        <w:t>he experimental group averaged 31.3%</w:t>
      </w:r>
      <w:r w:rsidR="000F5A75">
        <w:t xml:space="preserve"> (n=15, 20%-50%)</w:t>
      </w:r>
      <w:r w:rsidR="008473D2">
        <w:t xml:space="preserve"> reduction in enoxaparin dose upon</w:t>
      </w:r>
      <w:r w:rsidR="000F5A75">
        <w:t xml:space="preserve"> resulting anti-Xa level. </w:t>
      </w:r>
      <w:r w:rsidR="008473D2">
        <w:t xml:space="preserve"> </w:t>
      </w:r>
    </w:p>
    <w:p w:rsidR="00B87883" w:rsidRDefault="004D53FC" w:rsidP="003E20AC">
      <w:r w:rsidRPr="004D53FC">
        <w:rPr>
          <w:b/>
        </w:rPr>
        <w:t>Conclusion:</w:t>
      </w:r>
      <w:r w:rsidR="000F5A75">
        <w:t xml:space="preserve"> </w:t>
      </w:r>
      <w:r w:rsidR="00907A03">
        <w:t xml:space="preserve">The use of anti-Xa laboratory monitoring in patients with a BMI </w:t>
      </w:r>
      <w:r w:rsidR="00907A03">
        <w:rPr>
          <w:rFonts w:cstheme="minorHAnsi"/>
        </w:rPr>
        <w:t>≥ 40 kg/m</w:t>
      </w:r>
      <w:r w:rsidR="00907A03">
        <w:rPr>
          <w:rFonts w:cstheme="minorHAnsi"/>
          <w:vertAlign w:val="superscript"/>
        </w:rPr>
        <w:t>2</w:t>
      </w:r>
      <w:r w:rsidR="00907A03">
        <w:rPr>
          <w:rFonts w:cstheme="minorHAnsi"/>
        </w:rPr>
        <w:t>, total body weight ≤ 50kg, or an estimated creatinine clearance ≤ 30 mL/min is reasonable to confirm patients are receiving therapeutic enoxaparin therapy.</w:t>
      </w:r>
      <w:r w:rsidR="008A3CEE">
        <w:rPr>
          <w:rFonts w:cstheme="minorHAnsi"/>
        </w:rPr>
        <w:t xml:space="preserve"> The frequency of anti-Xa levels drawn was significantly </w:t>
      </w:r>
      <w:r w:rsidR="003E20AC">
        <w:rPr>
          <w:rFonts w:cstheme="minorHAnsi"/>
        </w:rPr>
        <w:t xml:space="preserve">higher in patients who required dose adjustment (p=0.0033) with only 47.6% of patients repeat levels resulting in range. Based on this data we plan to reevaluate our pharmacist dosing and monitoring enoxaparin protocol and provide additional education in this patient population. </w:t>
      </w:r>
    </w:p>
    <w:p w:rsidR="00760152" w:rsidRDefault="00760152" w:rsidP="00B87883">
      <w:pPr>
        <w:jc w:val="center"/>
      </w:pPr>
    </w:p>
    <w:sectPr w:rsidR="0076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83"/>
    <w:rsid w:val="000158D8"/>
    <w:rsid w:val="00070B53"/>
    <w:rsid w:val="000F5A75"/>
    <w:rsid w:val="001D6F19"/>
    <w:rsid w:val="002C4B13"/>
    <w:rsid w:val="002E79B2"/>
    <w:rsid w:val="00300D28"/>
    <w:rsid w:val="003E20AC"/>
    <w:rsid w:val="004A09BC"/>
    <w:rsid w:val="004D53FC"/>
    <w:rsid w:val="005242BF"/>
    <w:rsid w:val="005447BA"/>
    <w:rsid w:val="006C0C63"/>
    <w:rsid w:val="00760152"/>
    <w:rsid w:val="008473D2"/>
    <w:rsid w:val="008A3CEE"/>
    <w:rsid w:val="008A6108"/>
    <w:rsid w:val="00907A03"/>
    <w:rsid w:val="00B448B6"/>
    <w:rsid w:val="00B8718F"/>
    <w:rsid w:val="00B87883"/>
    <w:rsid w:val="00BF6A44"/>
    <w:rsid w:val="00DD44B8"/>
    <w:rsid w:val="00DD6DC7"/>
    <w:rsid w:val="00F76398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2FB4"/>
  <w15:chartTrackingRefBased/>
  <w15:docId w15:val="{9CABD900-7AB6-40C1-B19E-D78B1500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Madalyn L</dc:creator>
  <cp:keywords/>
  <dc:description/>
  <cp:lastModifiedBy>Wickham, Madalyn L</cp:lastModifiedBy>
  <cp:revision>4</cp:revision>
  <dcterms:created xsi:type="dcterms:W3CDTF">2022-05-06T16:01:00Z</dcterms:created>
  <dcterms:modified xsi:type="dcterms:W3CDTF">2022-05-06T18:13:00Z</dcterms:modified>
</cp:coreProperties>
</file>