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B0" w:rsidRDefault="00DC28B0" w:rsidP="00DC28B0">
      <w:pPr>
        <w:jc w:val="center"/>
      </w:pPr>
      <w:r w:rsidRPr="00DC28B0">
        <w:rPr>
          <w:b/>
          <w:bCs/>
        </w:rPr>
        <w:t>Impact of Obesity on Clinical Outcomes</w:t>
      </w:r>
      <w:r>
        <w:rPr>
          <w:b/>
          <w:bCs/>
        </w:rPr>
        <w:t xml:space="preserve"> </w:t>
      </w:r>
      <w:r w:rsidRPr="00DC28B0">
        <w:rPr>
          <w:b/>
          <w:bCs/>
        </w:rPr>
        <w:t>in Patients with Candidemia</w:t>
      </w:r>
    </w:p>
    <w:p w:rsidR="00BA550B" w:rsidRDefault="00BA550B">
      <w:r w:rsidRPr="00DA526A">
        <w:rPr>
          <w:b/>
        </w:rPr>
        <w:t>Authors:</w:t>
      </w:r>
      <w:r>
        <w:t xml:space="preserve"> </w:t>
      </w:r>
      <w:r w:rsidR="00DA526A" w:rsidRPr="00DA526A">
        <w:t>Tatianna Timor, PharmD; Krutika Mediwala Hornback, PharmD; Erin Weeda, PharmD; Jenna Sullivan, PharmD Candidate; Hannah Henson, PharmD Candidate; Brian R. Raux, PharmD</w:t>
      </w:r>
    </w:p>
    <w:p w:rsidR="00DC28B0" w:rsidRDefault="00DC28B0">
      <w:r w:rsidRPr="00DA526A">
        <w:rPr>
          <w:b/>
        </w:rPr>
        <w:t>Practice Site</w:t>
      </w:r>
      <w:r>
        <w:t xml:space="preserve">: MUSC Health; Charleston, SC </w:t>
      </w:r>
    </w:p>
    <w:p w:rsidR="00BA550B" w:rsidRDefault="00E661BA">
      <w:r w:rsidRPr="00DA526A">
        <w:rPr>
          <w:b/>
        </w:rPr>
        <w:t>Background:</w:t>
      </w:r>
      <w:r w:rsidR="00DC28B0"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ndidemia, or the presence of </w:t>
      </w:r>
      <w:r w:rsidR="00DC28B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Candida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species in the blood, can lead to increased mortality, longer length of stays, and increased costs​.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Rates for obesity are on the rise, with an estimated 40% of people in the United States classified as obese​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This patient population has key pharmacodynamic and pharmacokinetic differences that alter drug distribution and metabolism.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>H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igher doses may be needed in order to achieve target concentrations for efficacy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>, ho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weve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it is unclear what the optimal dosing is in this unique patient population.</w:t>
      </w:r>
    </w:p>
    <w:p w:rsidR="00BA550B" w:rsidRDefault="00BA550B">
      <w:r w:rsidRPr="00DA526A">
        <w:rPr>
          <w:b/>
        </w:rPr>
        <w:t>Objective:</w:t>
      </w:r>
      <w: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primary outcome of this study was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compare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infection-related length of stay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obese and non-obese patients presenting with candidemia.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Secondary outcomes included difference in time to candidemia resolution, 90-day hospital readmission, and in-hospital mortality.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BA550B" w:rsidRDefault="00BA550B">
      <w:r w:rsidRPr="00DA526A">
        <w:rPr>
          <w:b/>
        </w:rPr>
        <w:t>Methods:</w:t>
      </w:r>
      <w:r>
        <w:t xml:space="preserve">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This was 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single-center, retrospective cohort, chart-review analysi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 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patients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presenting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with </w:t>
      </w:r>
      <w:r w:rsidR="00E661B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Candida</w:t>
      </w:r>
      <w:r w:rsidR="00E661BA">
        <w:rPr>
          <w:rStyle w:val="normaltextrun"/>
          <w:rFonts w:ascii="Calibri" w:hAnsi="Calibri" w:cs="Calibri"/>
          <w:color w:val="000000"/>
          <w:shd w:val="clear" w:color="auto" w:fill="FFFFFF"/>
        </w:rPr>
        <w:t> bloodstream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infection. Patients included had to be greater than or equal to 18 years of age, have a positive blood culture for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C. albicans, C. glabrata, C. tropicalis, C.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krusei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, C.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dubliniensis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or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C.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parapsilosis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between June 1, 2014, and July 30, 2021, and receive treatment for ≥48 hours with systemic antifungals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Comparisons of age, gender, race, weight, height, </w:t>
      </w:r>
      <w:proofErr w:type="spellStart"/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Charlson</w:t>
      </w:r>
      <w:proofErr w:type="spellEnd"/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Comorbidity 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ndex, serum creatinine, and need for mechanical ventilation between obese and non-obese patients were reported. Additional data collected included infection-related length of stay (time from the first positive Candida blood culture until the day of hospital discharge), total hospital length of stay, in-hospital mortality, 30-day and 90-day readmission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status.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Categorical data between obese and non-obese patients was analyzed with Chi-square tests and Fisher’s Exact tests. Continuous data between subsets was analyzed using the Mann-Whitney U test or Student t test where appropriate. A two-sided </w:t>
      </w:r>
      <w:r w:rsidR="00DC28B0" w:rsidRPr="00DA526A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P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value of 0.05 was considered statistically significant.</w:t>
      </w:r>
    </w:p>
    <w:p w:rsidR="00BA550B" w:rsidRDefault="00BA550B">
      <w:r w:rsidRPr="00DA526A">
        <w:rPr>
          <w:b/>
        </w:rPr>
        <w:t>Results:</w:t>
      </w:r>
      <w:r>
        <w:t xml:space="preserve">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median length of stay in the obese group was 10.1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days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(5.9-15.5)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compared with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9.5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days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(7.5-17.6) in the non-obese group, </w:t>
      </w:r>
      <w:r w:rsidR="00DC28B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P= 0.32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. The duration of candidemia was similar between the groups, with a median duration of 2.4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days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(1.7-4.4) in the obese group and 2.9 (1.7-4.6) days in the non-obese group. There were a greater number of obese patients who died within the hospital admission compared to patients in the non-obese group, 15 (31%) vs. 13 (18%), respectively. Additionally, for the secondary endpoint of 90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day all-cause mortality, 20 (41%) of obese patients died within 90 days of admission as opposed to 23 (31%) of non-obese patients.</w:t>
      </w:r>
      <w:bookmarkStart w:id="0" w:name="_GoBack"/>
      <w:bookmarkEnd w:id="0"/>
    </w:p>
    <w:p w:rsidR="00BA550B" w:rsidRDefault="00BA550B">
      <w:r w:rsidRPr="00DA526A">
        <w:rPr>
          <w:b/>
        </w:rPr>
        <w:t>Conclusion:</w:t>
      </w:r>
      <w:r>
        <w:t xml:space="preserve">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bese patients did not have a longer infection-related length of stay or duration of candidemia.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>Obese patients had a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numerically higher rate of in-hospital mortality and 90</w:t>
      </w:r>
      <w:r w:rsidR="00E661BA"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day all-cause 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>mortality;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however</w:t>
      </w:r>
      <w:r w:rsidR="00DA526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these results were non-significant. Larger cohort studies are need to confirm the differences in mortality seen in </w:t>
      </w:r>
      <w:r w:rsidR="00DC28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this study. </w:t>
      </w:r>
      <w:r w:rsidR="00DC28B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BA550B" w:rsidRDefault="00BA550B"/>
    <w:p w:rsidR="00BA550B" w:rsidRDefault="00BA550B"/>
    <w:sectPr w:rsidR="00BA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0B"/>
    <w:rsid w:val="00BA550B"/>
    <w:rsid w:val="00DA526A"/>
    <w:rsid w:val="00DC28B0"/>
    <w:rsid w:val="00E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36CC"/>
  <w15:chartTrackingRefBased/>
  <w15:docId w15:val="{0A71ECEF-E85D-4924-8A3C-E9BA0E7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550B"/>
  </w:style>
  <w:style w:type="character" w:customStyle="1" w:styleId="eop">
    <w:name w:val="eop"/>
    <w:basedOn w:val="DefaultParagraphFont"/>
    <w:rsid w:val="00B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Timor, Tatianna</dc:creator>
  <cp:keywords/>
  <dc:description/>
  <cp:lastModifiedBy>Timor, Tatianna</cp:lastModifiedBy>
  <cp:revision>1</cp:revision>
  <dcterms:created xsi:type="dcterms:W3CDTF">2022-05-04T20:06:00Z</dcterms:created>
  <dcterms:modified xsi:type="dcterms:W3CDTF">2022-05-04T20:42:00Z</dcterms:modified>
</cp:coreProperties>
</file>