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AFA4" w14:textId="0ACC057F" w:rsidR="007655B7" w:rsidRDefault="00B472F3" w:rsidP="00C215FD">
      <w:pPr>
        <w:jc w:val="center"/>
      </w:pPr>
      <w:r>
        <w:t xml:space="preserve">A MIXED METHODS APPROACH TO CHARACTERIZING </w:t>
      </w:r>
      <w:r w:rsidR="00A55B88">
        <w:t>THE VALUE OF CLINICAL PHARMACIST PRACTITIONERS IN ACUTE CARE PRACTICE</w:t>
      </w:r>
    </w:p>
    <w:p w14:paraId="14980B23" w14:textId="6A555C3A" w:rsidR="00C215FD" w:rsidRDefault="00716368" w:rsidP="00C215FD">
      <w:pPr>
        <w:jc w:val="center"/>
      </w:pPr>
      <w:r>
        <w:t>Stockman</w:t>
      </w:r>
      <w:r w:rsidR="008335F8">
        <w:t xml:space="preserve"> </w:t>
      </w:r>
      <w:r>
        <w:t>D</w:t>
      </w:r>
      <w:r w:rsidR="008335F8">
        <w:t xml:space="preserve">., </w:t>
      </w:r>
      <w:r>
        <w:t>Rebo</w:t>
      </w:r>
      <w:r w:rsidR="008335F8">
        <w:t xml:space="preserve"> </w:t>
      </w:r>
      <w:r>
        <w:t>J</w:t>
      </w:r>
      <w:r w:rsidR="008335F8">
        <w:t xml:space="preserve">., </w:t>
      </w:r>
      <w:r w:rsidR="00F76D6A">
        <w:t>Dalpoas S.</w:t>
      </w:r>
    </w:p>
    <w:p w14:paraId="27EFE80D" w14:textId="77777777" w:rsidR="00C215FD" w:rsidRDefault="00C215FD" w:rsidP="00C215FD">
      <w:pPr>
        <w:jc w:val="center"/>
      </w:pPr>
      <w:r>
        <w:t>Novant Health Forsyth Medical Center – Winston Salem, NC</w:t>
      </w:r>
    </w:p>
    <w:p w14:paraId="77BDD04C" w14:textId="143AF8D7" w:rsidR="009E7D40" w:rsidRDefault="00D94BB6" w:rsidP="00C215FD">
      <w:r>
        <w:rPr>
          <w:b/>
        </w:rPr>
        <w:t>Background</w:t>
      </w:r>
      <w:r w:rsidR="00CA785C">
        <w:rPr>
          <w:b/>
        </w:rPr>
        <w:t>/Purpose</w:t>
      </w:r>
      <w:r w:rsidR="00C215FD">
        <w:rPr>
          <w:b/>
        </w:rPr>
        <w:t>:</w:t>
      </w:r>
      <w:r w:rsidR="00C215FD">
        <w:t xml:space="preserve"> </w:t>
      </w:r>
      <w:r w:rsidR="001533D7">
        <w:t>Over the last two years, Novant Health Department of Pharmacy has sought to</w:t>
      </w:r>
      <w:r w:rsidR="00592623" w:rsidRPr="00592623">
        <w:t xml:space="preserve"> elevate</w:t>
      </w:r>
      <w:r w:rsidR="001533D7">
        <w:t xml:space="preserve"> the expectations of</w:t>
      </w:r>
      <w:r w:rsidR="00592623" w:rsidRPr="00592623">
        <w:t xml:space="preserve"> all pharmacists </w:t>
      </w:r>
      <w:r w:rsidR="001533D7">
        <w:t>with the goal of increasing</w:t>
      </w:r>
      <w:r w:rsidR="00592623" w:rsidRPr="00592623">
        <w:t xml:space="preserve"> involv</w:t>
      </w:r>
      <w:r w:rsidR="001533D7">
        <w:t>ement</w:t>
      </w:r>
      <w:r w:rsidR="00592623" w:rsidRPr="00592623">
        <w:t xml:space="preserve"> in direct, patient-focused clinical activities. </w:t>
      </w:r>
      <w:r w:rsidR="00B66509">
        <w:t xml:space="preserve">As part of the care model transformation, credentialing and privileging eligible pharmacists as </w:t>
      </w:r>
      <w:r w:rsidR="001533D7">
        <w:t xml:space="preserve">Clinical Pharmacist Practitioners (CPPs) </w:t>
      </w:r>
      <w:r w:rsidR="00B66509">
        <w:t>was identified as an opportunity to optimize patient care while enhancing the pharmacist scope of practice.</w:t>
      </w:r>
      <w:r w:rsidR="00141B74" w:rsidRPr="00141B74">
        <w:t xml:space="preserve"> </w:t>
      </w:r>
      <w:r w:rsidR="00C7315B">
        <w:t>CPP practices were initially implemented in the ambulatory setting</w:t>
      </w:r>
      <w:r w:rsidR="00B472F3">
        <w:t xml:space="preserve"> </w:t>
      </w:r>
      <w:r w:rsidR="00C7315B">
        <w:t xml:space="preserve">but engaging pharmacists in this role in the inpatient setting </w:t>
      </w:r>
      <w:r w:rsidR="00290135">
        <w:t>also showed</w:t>
      </w:r>
      <w:r w:rsidR="00C7315B">
        <w:t xml:space="preserve"> </w:t>
      </w:r>
      <w:r w:rsidR="00290135">
        <w:t>optimization of</w:t>
      </w:r>
      <w:r w:rsidR="00C7315B">
        <w:t xml:space="preserve"> medication management and safety.</w:t>
      </w:r>
      <w:r w:rsidR="00B472F3" w:rsidRPr="00B472F3">
        <w:t xml:space="preserve"> </w:t>
      </w:r>
      <w:r w:rsidR="00CE69B5">
        <w:t>At Novant</w:t>
      </w:r>
      <w:r w:rsidR="001533D7">
        <w:t xml:space="preserve"> Health</w:t>
      </w:r>
      <w:r w:rsidR="00CE69B5">
        <w:t xml:space="preserve">, </w:t>
      </w:r>
      <w:r w:rsidR="00F81864">
        <w:t xml:space="preserve">pharmacist </w:t>
      </w:r>
      <w:r w:rsidR="001533D7">
        <w:t xml:space="preserve">productivity </w:t>
      </w:r>
      <w:r w:rsidR="00290135">
        <w:t>was</w:t>
      </w:r>
      <w:r w:rsidR="00CE69B5">
        <w:t xml:space="preserve"> </w:t>
      </w:r>
      <w:r w:rsidR="007C5B04">
        <w:t xml:space="preserve">historically </w:t>
      </w:r>
      <w:r w:rsidR="00CE69B5">
        <w:t xml:space="preserve">measured </w:t>
      </w:r>
      <w:r w:rsidR="00EC4912">
        <w:t xml:space="preserve">by </w:t>
      </w:r>
      <w:r w:rsidR="00F81864">
        <w:t xml:space="preserve">intervention documentation and orders verified. </w:t>
      </w:r>
      <w:r w:rsidR="00127185">
        <w:t>Interventions represent</w:t>
      </w:r>
      <w:r w:rsidR="00290135">
        <w:t>ed</w:t>
      </w:r>
      <w:r w:rsidR="00127185">
        <w:t xml:space="preserve"> time spent by pharmacists </w:t>
      </w:r>
      <w:r w:rsidR="00290135">
        <w:t xml:space="preserve">to ensure </w:t>
      </w:r>
      <w:r w:rsidR="00127185">
        <w:t xml:space="preserve">medication therapy </w:t>
      </w:r>
      <w:r w:rsidR="00290135">
        <w:t>was</w:t>
      </w:r>
      <w:r w:rsidR="00127185">
        <w:t xml:space="preserve"> optimal for patients. </w:t>
      </w:r>
      <w:r w:rsidR="00F81864">
        <w:t xml:space="preserve">CPP productivity </w:t>
      </w:r>
      <w:r w:rsidR="00486D85">
        <w:t>was</w:t>
      </w:r>
      <w:r w:rsidR="00EC4912">
        <w:t xml:space="preserve"> objectively measured by orders </w:t>
      </w:r>
      <w:r w:rsidR="00476526">
        <w:t xml:space="preserve">entered pursuant to </w:t>
      </w:r>
      <w:r w:rsidR="00B472F3">
        <w:t xml:space="preserve">a </w:t>
      </w:r>
      <w:r w:rsidR="004C1D5C">
        <w:t>collaborative practice agreement (CPA),</w:t>
      </w:r>
      <w:r w:rsidR="00221F57">
        <w:t xml:space="preserve"> interventions</w:t>
      </w:r>
      <w:r w:rsidR="000155DC">
        <w:t xml:space="preserve"> documented,</w:t>
      </w:r>
      <w:r w:rsidR="00221F57">
        <w:t xml:space="preserve"> and orders verified </w:t>
      </w:r>
      <w:proofErr w:type="gramStart"/>
      <w:r w:rsidR="00221F57">
        <w:t>in the course of</w:t>
      </w:r>
      <w:proofErr w:type="gramEnd"/>
      <w:r w:rsidR="00221F57">
        <w:t xml:space="preserve"> caring for patients</w:t>
      </w:r>
      <w:r w:rsidR="00C7315B">
        <w:t>.</w:t>
      </w:r>
      <w:r w:rsidR="00592623" w:rsidRPr="00592623">
        <w:t xml:space="preserve"> </w:t>
      </w:r>
      <w:r w:rsidR="00B472F3" w:rsidRPr="00B472F3">
        <w:t>Upon adoption of CPP in the Novant Health acute care setting, an assessment showed a mean increase in interventions documented, orders verified, and orders written</w:t>
      </w:r>
      <w:r w:rsidR="00B472F3">
        <w:t xml:space="preserve"> pursuant to a CPA</w:t>
      </w:r>
      <w:r w:rsidR="00B472F3" w:rsidRPr="00B472F3">
        <w:t>.</w:t>
      </w:r>
      <w:r w:rsidR="00B472F3">
        <w:t xml:space="preserve"> </w:t>
      </w:r>
      <w:r w:rsidR="00B472F3" w:rsidRPr="00B472F3">
        <w:t>These markers of increased productivity allowed for quantitative support of CPP practice to enhance pharmacy metrics</w:t>
      </w:r>
      <w:r w:rsidR="00B472F3">
        <w:t xml:space="preserve">. </w:t>
      </w:r>
    </w:p>
    <w:p w14:paraId="39A60640" w14:textId="5714ED59" w:rsidR="00C215FD" w:rsidRDefault="00B07AAE" w:rsidP="00C215FD">
      <w:r>
        <w:t xml:space="preserve">The purpose of this study </w:t>
      </w:r>
      <w:r w:rsidR="00486D85">
        <w:t>was</w:t>
      </w:r>
      <w:r>
        <w:t xml:space="preserve"> to</w:t>
      </w:r>
      <w:r w:rsidR="0077078D" w:rsidRPr="0077078D">
        <w:t xml:space="preserve"> </w:t>
      </w:r>
      <w:r w:rsidR="00B472F3" w:rsidRPr="00B472F3">
        <w:t xml:space="preserve">add to the previous knowledge by characterizing the types of interventions made by </w:t>
      </w:r>
      <w:r w:rsidR="00B472F3">
        <w:t>CPPs</w:t>
      </w:r>
      <w:r w:rsidR="00B472F3" w:rsidRPr="00B472F3">
        <w:t xml:space="preserve"> and providing qualitative data to add provider perspective to the assessment of value of the CPP on the acute care team</w:t>
      </w:r>
      <w:r w:rsidR="00B472F3">
        <w:t xml:space="preserve">. </w:t>
      </w:r>
    </w:p>
    <w:p w14:paraId="314AA2B0" w14:textId="4FA0AC7F" w:rsidR="008335F8" w:rsidRDefault="00EB31FE" w:rsidP="008335F8">
      <w:r>
        <w:rPr>
          <w:b/>
        </w:rPr>
        <w:t xml:space="preserve">Primary </w:t>
      </w:r>
      <w:r w:rsidR="00D94BB6" w:rsidRPr="0007217B">
        <w:rPr>
          <w:b/>
        </w:rPr>
        <w:t>Objective</w:t>
      </w:r>
      <w:r w:rsidR="008335F8" w:rsidRPr="0007217B">
        <w:rPr>
          <w:b/>
        </w:rPr>
        <w:t>:</w:t>
      </w:r>
      <w:r w:rsidR="008335F8" w:rsidRPr="0007217B">
        <w:t xml:space="preserve"> </w:t>
      </w:r>
      <w:r w:rsidRPr="00EB31FE">
        <w:t>To characterize the types of interventions made by CPPs</w:t>
      </w:r>
    </w:p>
    <w:p w14:paraId="53D21DC1" w14:textId="7EA6458F" w:rsidR="00EB31FE" w:rsidRPr="00EB31FE" w:rsidRDefault="00EB31FE" w:rsidP="008335F8">
      <w:pPr>
        <w:rPr>
          <w:b/>
          <w:bCs/>
        </w:rPr>
      </w:pPr>
      <w:r>
        <w:rPr>
          <w:b/>
          <w:bCs/>
        </w:rPr>
        <w:t xml:space="preserve">Secondary Objective: </w:t>
      </w:r>
      <w:r w:rsidRPr="00EB31FE">
        <w:t>Assess the impact of CPP implementation on providers within a multidisciplinary care team</w:t>
      </w:r>
    </w:p>
    <w:p w14:paraId="414B96FC" w14:textId="659D13F5" w:rsidR="00EB31FE" w:rsidRDefault="00DA3BC0" w:rsidP="00C215FD">
      <w:r>
        <w:rPr>
          <w:b/>
        </w:rPr>
        <w:t>Methods</w:t>
      </w:r>
      <w:r w:rsidR="00C215FD">
        <w:rPr>
          <w:b/>
        </w:rPr>
        <w:t>:</w:t>
      </w:r>
      <w:r w:rsidR="00B07AAE">
        <w:t xml:space="preserve"> </w:t>
      </w:r>
      <w:r w:rsidR="00ED38FF">
        <w:t xml:space="preserve">A mixed methods approach was utilized to offer complementarity between qualitative and quantitative data regarding CPPs. Concurrent qualitative and quantitative data collection occurred. Integration of </w:t>
      </w:r>
      <w:r w:rsidR="008C2D62">
        <w:t xml:space="preserve">qualitative and quantitative </w:t>
      </w:r>
      <w:r w:rsidR="00ED38FF">
        <w:t xml:space="preserve">data occurred during </w:t>
      </w:r>
      <w:r w:rsidR="008C2D62">
        <w:t xml:space="preserve">analysis of the data. </w:t>
      </w:r>
    </w:p>
    <w:p w14:paraId="7AEF21A0" w14:textId="392856A9" w:rsidR="00EB31FE" w:rsidRDefault="00EB31FE" w:rsidP="00C215FD">
      <w:r w:rsidRPr="00EB31FE">
        <w:rPr>
          <w:b/>
          <w:bCs/>
        </w:rPr>
        <w:t>Pharmacists Interventions Analysis</w:t>
      </w:r>
      <w:r>
        <w:t xml:space="preserve">: Multicenter, IRB-approved, retrospective assessment of </w:t>
      </w:r>
      <w:r w:rsidRPr="00EB31FE">
        <w:t xml:space="preserve">intervention data by </w:t>
      </w:r>
      <w:r>
        <w:t xml:space="preserve">three critical care </w:t>
      </w:r>
      <w:r w:rsidRPr="00EB31FE">
        <w:t>CPPs to assess the number and percent of interventions made by type</w:t>
      </w:r>
      <w:r>
        <w:t>.</w:t>
      </w:r>
      <w:r w:rsidR="003A3A9D">
        <w:t xml:space="preserve"> The primary endpoint measured w</w:t>
      </w:r>
      <w:r w:rsidR="00DD77D2">
        <w:t>as</w:t>
      </w:r>
      <w:r w:rsidR="003A3A9D">
        <w:t xml:space="preserve"> the number</w:t>
      </w:r>
      <w:r w:rsidR="003A3A9D" w:rsidRPr="00231BC6">
        <w:rPr>
          <w:color w:val="FF0000"/>
        </w:rPr>
        <w:t xml:space="preserve"> </w:t>
      </w:r>
      <w:r w:rsidR="003A3A9D">
        <w:t xml:space="preserve">of interventions made by type. </w:t>
      </w:r>
      <w:r w:rsidR="003A3A9D" w:rsidRPr="004705F3">
        <w:t xml:space="preserve">Descriptive </w:t>
      </w:r>
      <w:r w:rsidR="003A3A9D">
        <w:t xml:space="preserve">statistics were used to analyze this data.  </w:t>
      </w:r>
    </w:p>
    <w:p w14:paraId="175000D3" w14:textId="23430A38" w:rsidR="00C215FD" w:rsidRPr="003A3A9D" w:rsidRDefault="003A3A9D" w:rsidP="00C215FD">
      <w:r>
        <w:rPr>
          <w:b/>
          <w:bCs/>
        </w:rPr>
        <w:t xml:space="preserve">Provider Survey: </w:t>
      </w:r>
      <w:r>
        <w:t>Multicenter, IRB-approved</w:t>
      </w:r>
      <w:r w:rsidR="00BA30E0">
        <w:t xml:space="preserve"> assessment of </w:t>
      </w:r>
      <w:r>
        <w:t>o</w:t>
      </w:r>
      <w:r w:rsidRPr="003A3A9D">
        <w:t>pen ended and multiple-choice questions sent to multidisciplinary care team members</w:t>
      </w:r>
      <w:r w:rsidR="001A30DB">
        <w:t>. The secondary endpoint was</w:t>
      </w:r>
      <w:r w:rsidRPr="003A3A9D">
        <w:t xml:space="preserve"> provider perspectives regarding CPP impact on patient outcomes and physician practice</w:t>
      </w:r>
      <w:r w:rsidR="00BA30E0">
        <w:t>.</w:t>
      </w:r>
      <w:r w:rsidR="001A30DB">
        <w:t xml:space="preserve"> </w:t>
      </w:r>
      <w:r w:rsidR="004176B8">
        <w:t xml:space="preserve">Thematic analysis was used to analyze this data. </w:t>
      </w:r>
    </w:p>
    <w:p w14:paraId="7CD14B66" w14:textId="77777777" w:rsidR="005D3CDE" w:rsidRDefault="00C215FD" w:rsidP="00C215FD">
      <w:pPr>
        <w:rPr>
          <w:b/>
        </w:rPr>
      </w:pPr>
      <w:r>
        <w:rPr>
          <w:b/>
        </w:rPr>
        <w:t>Results:</w:t>
      </w:r>
      <w:r w:rsidR="008574CB">
        <w:rPr>
          <w:b/>
        </w:rPr>
        <w:t xml:space="preserve"> </w:t>
      </w:r>
    </w:p>
    <w:p w14:paraId="6B8787C2" w14:textId="35691BB6" w:rsidR="005D3CDE" w:rsidRDefault="005D3CDE" w:rsidP="00C215FD">
      <w:r w:rsidRPr="005D3CDE">
        <w:rPr>
          <w:b/>
          <w:bCs/>
        </w:rPr>
        <w:lastRenderedPageBreak/>
        <w:t>Pharmacists Interventions Analysis</w:t>
      </w:r>
      <w:r>
        <w:t xml:space="preserve">: </w:t>
      </w:r>
      <w:r w:rsidR="0006377B">
        <w:t xml:space="preserve">The </w:t>
      </w:r>
      <w:r w:rsidR="00231BC6" w:rsidRPr="001D42CD">
        <w:t>leading</w:t>
      </w:r>
      <w:r w:rsidR="0006377B">
        <w:t xml:space="preserve"> activities for CPPs based on intervention by type were patient eligibility review</w:t>
      </w:r>
      <w:r w:rsidR="00716296">
        <w:t>s</w:t>
      </w:r>
      <w:r w:rsidR="0006377B">
        <w:t xml:space="preserve">, interventions, and </w:t>
      </w:r>
      <w:r w:rsidR="00716296">
        <w:t>“</w:t>
      </w:r>
      <w:r w:rsidR="0006377B">
        <w:t>other</w:t>
      </w:r>
      <w:r w:rsidR="00716296">
        <w:t>”</w:t>
      </w:r>
      <w:r w:rsidR="0006377B">
        <w:t xml:space="preserve"> categories which accounted for 49.6%, 25.7%, and 20.9% </w:t>
      </w:r>
      <w:r w:rsidR="00716296">
        <w:t xml:space="preserve">of documented interventions </w:t>
      </w:r>
      <w:r w:rsidR="0006377B">
        <w:t xml:space="preserve">respectively. </w:t>
      </w:r>
      <w:r w:rsidR="00716296">
        <w:t xml:space="preserve">These </w:t>
      </w:r>
      <w:r w:rsidR="003F3A7E">
        <w:t xml:space="preserve">interventions </w:t>
      </w:r>
      <w:r w:rsidR="00716296">
        <w:t xml:space="preserve">included activities such as warfarin management, heparin management, renal dose review, and therapeutic monitoring of other drugs. </w:t>
      </w:r>
    </w:p>
    <w:p w14:paraId="02032DDE" w14:textId="5F72E55D" w:rsidR="005D3CDE" w:rsidRPr="00147651" w:rsidRDefault="005D3CDE" w:rsidP="00C215FD">
      <w:pPr>
        <w:rPr>
          <w:bCs/>
        </w:rPr>
      </w:pPr>
      <w:r>
        <w:rPr>
          <w:b/>
        </w:rPr>
        <w:t xml:space="preserve">Provider Survey: </w:t>
      </w:r>
      <w:r w:rsidR="00147651" w:rsidRPr="00147651">
        <w:rPr>
          <w:bCs/>
        </w:rPr>
        <w:t>For all 6 quantitative survey questions, “strongly agree” was the most prominent response regarding both patient outcome questions and efficiency/communication questions</w:t>
      </w:r>
      <w:r w:rsidR="009B4317">
        <w:rPr>
          <w:bCs/>
        </w:rPr>
        <w:t xml:space="preserve">. </w:t>
      </w:r>
      <w:r w:rsidR="00E32C72">
        <w:rPr>
          <w:bCs/>
        </w:rPr>
        <w:t>Prominent themes identified</w:t>
      </w:r>
      <w:r w:rsidR="00E149BC">
        <w:rPr>
          <w:bCs/>
        </w:rPr>
        <w:t xml:space="preserve"> regarding benefits of CPPs from the perspective of their care teams</w:t>
      </w:r>
      <w:r w:rsidR="00E32C72">
        <w:rPr>
          <w:bCs/>
        </w:rPr>
        <w:t xml:space="preserve"> included </w:t>
      </w:r>
      <w:r w:rsidR="000647D9">
        <w:rPr>
          <w:bCs/>
        </w:rPr>
        <w:t xml:space="preserve">improved patient outcomes, improved teamwork, increased efficiency, and </w:t>
      </w:r>
      <w:r w:rsidR="00E149BC">
        <w:rPr>
          <w:bCs/>
        </w:rPr>
        <w:t xml:space="preserve">a </w:t>
      </w:r>
      <w:r w:rsidR="000647D9">
        <w:rPr>
          <w:bCs/>
        </w:rPr>
        <w:t xml:space="preserve">desire for expanded CPP practices into additional practice areas with expanded scope of practice. </w:t>
      </w:r>
    </w:p>
    <w:p w14:paraId="2C305C79" w14:textId="44B689F9" w:rsidR="00173CA4" w:rsidRPr="00173CA4" w:rsidRDefault="00C215FD" w:rsidP="00173CA4">
      <w:pPr>
        <w:rPr>
          <w:bCs/>
        </w:rPr>
      </w:pPr>
      <w:r>
        <w:rPr>
          <w:b/>
        </w:rPr>
        <w:t xml:space="preserve">Conclusions: </w:t>
      </w:r>
      <w:r w:rsidR="00B91B20">
        <w:rPr>
          <w:bCs/>
        </w:rPr>
        <w:t xml:space="preserve">This study </w:t>
      </w:r>
      <w:r w:rsidR="009C6A8B" w:rsidRPr="00B472F3">
        <w:t>add</w:t>
      </w:r>
      <w:r w:rsidR="009C6A8B">
        <w:t>ed</w:t>
      </w:r>
      <w:r w:rsidR="009C6A8B" w:rsidRPr="00B472F3">
        <w:t xml:space="preserve"> to previous knowledge by characterizing the types of interventions made by </w:t>
      </w:r>
      <w:r w:rsidR="009C6A8B">
        <w:t>CPPs</w:t>
      </w:r>
      <w:r w:rsidR="009C6A8B" w:rsidRPr="00B472F3">
        <w:t xml:space="preserve"> and provid</w:t>
      </w:r>
      <w:r w:rsidR="00DD77D2">
        <w:t>ed</w:t>
      </w:r>
      <w:r w:rsidR="009C6A8B" w:rsidRPr="00B472F3">
        <w:t xml:space="preserve"> qualitative data to add provider perspective to the value of CPP</w:t>
      </w:r>
      <w:r w:rsidR="0037404F">
        <w:t>s</w:t>
      </w:r>
      <w:r w:rsidR="009C6A8B" w:rsidRPr="00B472F3">
        <w:t xml:space="preserve"> on the acute care team</w:t>
      </w:r>
      <w:r w:rsidR="009C6A8B">
        <w:t>.</w:t>
      </w:r>
      <w:r w:rsidR="008C2D62">
        <w:t xml:space="preserve"> These types of interventions </w:t>
      </w:r>
      <w:r w:rsidR="004A5A76">
        <w:t xml:space="preserve">contribute to </w:t>
      </w:r>
      <w:r w:rsidR="006D2AF8">
        <w:t>the practice of pharmacy by exemplifying the expanded scope of practice for pharmacists</w:t>
      </w:r>
      <w:r w:rsidR="004A5A76">
        <w:t>.</w:t>
      </w:r>
      <w:r w:rsidR="006D2AF8">
        <w:t xml:space="preserve"> </w:t>
      </w:r>
      <w:r w:rsidR="00173CA4">
        <w:rPr>
          <w:bCs/>
        </w:rPr>
        <w:t xml:space="preserve">The provider survey data </w:t>
      </w:r>
      <w:r w:rsidR="0037404F">
        <w:rPr>
          <w:bCs/>
        </w:rPr>
        <w:t>revealed</w:t>
      </w:r>
      <w:r w:rsidR="00173CA4">
        <w:rPr>
          <w:bCs/>
        </w:rPr>
        <w:t xml:space="preserve"> </w:t>
      </w:r>
      <w:r w:rsidR="00ED2A72">
        <w:rPr>
          <w:bCs/>
        </w:rPr>
        <w:t xml:space="preserve">qualitatively </w:t>
      </w:r>
      <w:r w:rsidR="00173CA4">
        <w:rPr>
          <w:bCs/>
        </w:rPr>
        <w:t xml:space="preserve">positive provider sentiment regarding CPP </w:t>
      </w:r>
      <w:r w:rsidR="00ED2A72">
        <w:rPr>
          <w:bCs/>
        </w:rPr>
        <w:t xml:space="preserve">contributions to patient care </w:t>
      </w:r>
      <w:r w:rsidR="00173CA4">
        <w:rPr>
          <w:bCs/>
        </w:rPr>
        <w:t xml:space="preserve">and </w:t>
      </w:r>
      <w:r w:rsidR="0037404F">
        <w:rPr>
          <w:bCs/>
        </w:rPr>
        <w:t xml:space="preserve">supports the acceptance of CPP integration into patient care teams. </w:t>
      </w:r>
    </w:p>
    <w:p w14:paraId="0EF2D4EC" w14:textId="56584973" w:rsidR="00177FA0" w:rsidRPr="00A50D27" w:rsidRDefault="00177FA0" w:rsidP="00C215FD">
      <w:pPr>
        <w:rPr>
          <w:bCs/>
        </w:rPr>
      </w:pPr>
    </w:p>
    <w:sectPr w:rsidR="00177FA0" w:rsidRPr="00A5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EDB"/>
    <w:multiLevelType w:val="multilevel"/>
    <w:tmpl w:val="473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105B"/>
    <w:multiLevelType w:val="multilevel"/>
    <w:tmpl w:val="38A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D"/>
    <w:rsid w:val="000155DC"/>
    <w:rsid w:val="00045C8F"/>
    <w:rsid w:val="00050156"/>
    <w:rsid w:val="0006377B"/>
    <w:rsid w:val="000647D9"/>
    <w:rsid w:val="0007217B"/>
    <w:rsid w:val="00086D3D"/>
    <w:rsid w:val="000B09B1"/>
    <w:rsid w:val="000C6FCE"/>
    <w:rsid w:val="00127185"/>
    <w:rsid w:val="00141B74"/>
    <w:rsid w:val="00147651"/>
    <w:rsid w:val="001533D7"/>
    <w:rsid w:val="00173CA4"/>
    <w:rsid w:val="00177FA0"/>
    <w:rsid w:val="001847B6"/>
    <w:rsid w:val="00184A94"/>
    <w:rsid w:val="00197E83"/>
    <w:rsid w:val="001A0154"/>
    <w:rsid w:val="001A1028"/>
    <w:rsid w:val="001A30DB"/>
    <w:rsid w:val="001C50F6"/>
    <w:rsid w:val="001D42CD"/>
    <w:rsid w:val="00216D25"/>
    <w:rsid w:val="00221F57"/>
    <w:rsid w:val="0022580D"/>
    <w:rsid w:val="00231BC6"/>
    <w:rsid w:val="0023585A"/>
    <w:rsid w:val="00240084"/>
    <w:rsid w:val="00241D6E"/>
    <w:rsid w:val="00244265"/>
    <w:rsid w:val="00251615"/>
    <w:rsid w:val="00290135"/>
    <w:rsid w:val="002F1364"/>
    <w:rsid w:val="00320BA2"/>
    <w:rsid w:val="003248C5"/>
    <w:rsid w:val="00362BCD"/>
    <w:rsid w:val="00365513"/>
    <w:rsid w:val="0037404F"/>
    <w:rsid w:val="003A3A9D"/>
    <w:rsid w:val="003D445C"/>
    <w:rsid w:val="003F3A7E"/>
    <w:rsid w:val="00415D9F"/>
    <w:rsid w:val="004176B8"/>
    <w:rsid w:val="004418C1"/>
    <w:rsid w:val="004705F3"/>
    <w:rsid w:val="00476526"/>
    <w:rsid w:val="00486D4E"/>
    <w:rsid w:val="00486D85"/>
    <w:rsid w:val="004A086E"/>
    <w:rsid w:val="004A1ACE"/>
    <w:rsid w:val="004A5A76"/>
    <w:rsid w:val="004C1575"/>
    <w:rsid w:val="004C1D5C"/>
    <w:rsid w:val="004C48E4"/>
    <w:rsid w:val="004C5D6D"/>
    <w:rsid w:val="004D1A2A"/>
    <w:rsid w:val="00533140"/>
    <w:rsid w:val="005437A9"/>
    <w:rsid w:val="00553E75"/>
    <w:rsid w:val="0056410A"/>
    <w:rsid w:val="00582854"/>
    <w:rsid w:val="00592623"/>
    <w:rsid w:val="005D3CDE"/>
    <w:rsid w:val="005F403A"/>
    <w:rsid w:val="00615487"/>
    <w:rsid w:val="00640D2E"/>
    <w:rsid w:val="00643F54"/>
    <w:rsid w:val="00662BB3"/>
    <w:rsid w:val="0068118E"/>
    <w:rsid w:val="006C6ECE"/>
    <w:rsid w:val="006D2AF8"/>
    <w:rsid w:val="006D623C"/>
    <w:rsid w:val="00714BD0"/>
    <w:rsid w:val="00716296"/>
    <w:rsid w:val="00716368"/>
    <w:rsid w:val="00727755"/>
    <w:rsid w:val="007478DE"/>
    <w:rsid w:val="007655B7"/>
    <w:rsid w:val="0077078D"/>
    <w:rsid w:val="007C5B04"/>
    <w:rsid w:val="007C7EAA"/>
    <w:rsid w:val="007D1AEA"/>
    <w:rsid w:val="008335F8"/>
    <w:rsid w:val="00855DEF"/>
    <w:rsid w:val="008574CB"/>
    <w:rsid w:val="008A4292"/>
    <w:rsid w:val="008C2D62"/>
    <w:rsid w:val="008D1390"/>
    <w:rsid w:val="009266BC"/>
    <w:rsid w:val="009741DC"/>
    <w:rsid w:val="009A7496"/>
    <w:rsid w:val="009B4317"/>
    <w:rsid w:val="009C6A8B"/>
    <w:rsid w:val="009D49C7"/>
    <w:rsid w:val="009E7D40"/>
    <w:rsid w:val="00A50BEC"/>
    <w:rsid w:val="00A50D27"/>
    <w:rsid w:val="00A53AEB"/>
    <w:rsid w:val="00A55B88"/>
    <w:rsid w:val="00A804DE"/>
    <w:rsid w:val="00A96891"/>
    <w:rsid w:val="00AF1C1D"/>
    <w:rsid w:val="00AF7DF9"/>
    <w:rsid w:val="00B07AAE"/>
    <w:rsid w:val="00B472F3"/>
    <w:rsid w:val="00B66509"/>
    <w:rsid w:val="00B91B20"/>
    <w:rsid w:val="00BA30E0"/>
    <w:rsid w:val="00BB09B4"/>
    <w:rsid w:val="00C051EB"/>
    <w:rsid w:val="00C1369F"/>
    <w:rsid w:val="00C215FD"/>
    <w:rsid w:val="00C35F54"/>
    <w:rsid w:val="00C65BEA"/>
    <w:rsid w:val="00C7315B"/>
    <w:rsid w:val="00C85CCE"/>
    <w:rsid w:val="00CA785C"/>
    <w:rsid w:val="00CC4B47"/>
    <w:rsid w:val="00CC6256"/>
    <w:rsid w:val="00CD36A1"/>
    <w:rsid w:val="00CD61F6"/>
    <w:rsid w:val="00CE69B5"/>
    <w:rsid w:val="00D26F16"/>
    <w:rsid w:val="00D476B3"/>
    <w:rsid w:val="00D7436A"/>
    <w:rsid w:val="00D743DC"/>
    <w:rsid w:val="00D7765F"/>
    <w:rsid w:val="00D94BB6"/>
    <w:rsid w:val="00DA3BC0"/>
    <w:rsid w:val="00DC0B92"/>
    <w:rsid w:val="00DD6032"/>
    <w:rsid w:val="00DD77D2"/>
    <w:rsid w:val="00E149BC"/>
    <w:rsid w:val="00E32C72"/>
    <w:rsid w:val="00E45731"/>
    <w:rsid w:val="00E46B81"/>
    <w:rsid w:val="00E54836"/>
    <w:rsid w:val="00EB31FE"/>
    <w:rsid w:val="00EB7134"/>
    <w:rsid w:val="00EC4912"/>
    <w:rsid w:val="00ED2A72"/>
    <w:rsid w:val="00ED38FF"/>
    <w:rsid w:val="00EF1639"/>
    <w:rsid w:val="00F45758"/>
    <w:rsid w:val="00F60783"/>
    <w:rsid w:val="00F64860"/>
    <w:rsid w:val="00F76D6A"/>
    <w:rsid w:val="00F81864"/>
    <w:rsid w:val="00F8454B"/>
    <w:rsid w:val="00F96E67"/>
    <w:rsid w:val="00FB282D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2EFB"/>
  <w15:chartTrackingRefBased/>
  <w15:docId w15:val="{FC3C843A-9DC7-409F-8211-C60214A7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8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7DF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5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3902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8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8A0B1-0E48-48F5-9E2F-C5F33012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Fear, Brittany S</dc:creator>
  <cp:keywords/>
  <dc:description/>
  <cp:lastModifiedBy>Stockman, Andrew T</cp:lastModifiedBy>
  <cp:revision>2</cp:revision>
  <dcterms:created xsi:type="dcterms:W3CDTF">2022-05-04T23:20:00Z</dcterms:created>
  <dcterms:modified xsi:type="dcterms:W3CDTF">2022-05-04T23:20:00Z</dcterms:modified>
</cp:coreProperties>
</file>