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14117" w14:textId="77777777" w:rsidR="00ED2DA0" w:rsidRDefault="004A1E5D">
      <w:r>
        <w:t>Presentation Title: “Improving Time to Anticoagulation in Patients with Pulmonary Embolism”</w:t>
      </w:r>
    </w:p>
    <w:p w14:paraId="793AF375" w14:textId="777C4EB0" w:rsidR="004A1E5D" w:rsidRDefault="004A1E5D">
      <w:r>
        <w:t xml:space="preserve">Authors: </w:t>
      </w:r>
      <w:r w:rsidR="000D71D1" w:rsidRPr="000D71D1">
        <w:t>Donna Steinbacher, PharmD; Merry Ellen Barnett, MD; Mary Lewis Griffin, PharmD; Amanda Hedrick, PharmD</w:t>
      </w:r>
    </w:p>
    <w:p w14:paraId="659AC31E" w14:textId="7BF6EAE6" w:rsidR="004A1E5D" w:rsidRDefault="004A1E5D">
      <w:r>
        <w:t xml:space="preserve">Practice Site: </w:t>
      </w:r>
      <w:r w:rsidR="000D71D1">
        <w:t>UVA Health</w:t>
      </w:r>
    </w:p>
    <w:p w14:paraId="7D3C3A39" w14:textId="34A23397" w:rsidR="004A1E5D" w:rsidRDefault="003C0DEF" w:rsidP="009F3235">
      <w:pPr>
        <w:jc w:val="both"/>
      </w:pPr>
      <w:r>
        <w:t>Background:</w:t>
      </w:r>
      <w:r w:rsidR="006B5571">
        <w:t xml:space="preserve"> </w:t>
      </w:r>
      <w:r w:rsidR="006B5571" w:rsidRPr="00FB7D65">
        <w:t>American College of Chest Physicians (CHEST)</w:t>
      </w:r>
      <w:r w:rsidR="006B5571" w:rsidRPr="00010381">
        <w:t xml:space="preserve"> guidelines recommend early anticoagulation </w:t>
      </w:r>
      <w:r w:rsidR="006B5571">
        <w:t xml:space="preserve">for </w:t>
      </w:r>
      <w:r w:rsidR="006B5571" w:rsidRPr="00010381">
        <w:t>PE</w:t>
      </w:r>
      <w:r w:rsidR="006B5571">
        <w:t>,</w:t>
      </w:r>
      <w:r w:rsidR="006B5571" w:rsidRPr="00010381">
        <w:t xml:space="preserve"> as delays can lea</w:t>
      </w:r>
      <w:r w:rsidR="006B5571">
        <w:t>d to</w:t>
      </w:r>
      <w:r w:rsidR="006B5571" w:rsidRPr="00010381">
        <w:t xml:space="preserve"> increased morbidity and mortality.</w:t>
      </w:r>
      <w:r w:rsidR="00DD7101">
        <w:t xml:space="preserve"> </w:t>
      </w:r>
      <w:r w:rsidR="000D71D1">
        <w:t xml:space="preserve">A Pulmonary Embolism Response Team (PERT) alert can be initiated for patients at UVA Health with intermediate or high risk pulmonary embolism (PE). </w:t>
      </w:r>
      <w:r w:rsidR="00DD7101">
        <w:t>This alert brings together a mu</w:t>
      </w:r>
      <w:r w:rsidR="00366A25">
        <w:t>ltidisciplinary group of health</w:t>
      </w:r>
      <w:r w:rsidR="00DD7101">
        <w:t xml:space="preserve">care professionals to help risk stratify and </w:t>
      </w:r>
      <w:r w:rsidR="006B5571">
        <w:t>manage complex cases</w:t>
      </w:r>
      <w:r w:rsidR="00DD7101" w:rsidRPr="00010381">
        <w:t>.</w:t>
      </w:r>
      <w:r w:rsidR="00DD7101">
        <w:t xml:space="preserve"> </w:t>
      </w:r>
      <w:r w:rsidR="006B5571">
        <w:t xml:space="preserve">The initial care provided to patients with a PERT alert is similar to all patients with PE. </w:t>
      </w:r>
      <w:r w:rsidR="00DD7101" w:rsidRPr="00DD7101">
        <w:t>From October 2018 until April 2021, the median time from computed</w:t>
      </w:r>
      <w:r w:rsidR="000D71D1">
        <w:t xml:space="preserve"> tomography pulmonary angiogram (CTPA)</w:t>
      </w:r>
      <w:r w:rsidR="00DD7101" w:rsidRPr="00DD7101">
        <w:t xml:space="preserve"> confirmation of intermediate or high-risk PE to anticoagulation administration was 90 minutes in</w:t>
      </w:r>
      <w:r w:rsidR="00E22BE5">
        <w:t xml:space="preserve"> </w:t>
      </w:r>
      <w:r w:rsidR="00DD7101" w:rsidRPr="00DD7101">
        <w:t>patients with a PERT alert.</w:t>
      </w:r>
      <w:r w:rsidR="006B5571">
        <w:t xml:space="preserve"> </w:t>
      </w:r>
    </w:p>
    <w:p w14:paraId="0A92A53B" w14:textId="2F94066D" w:rsidR="003C0DEF" w:rsidRDefault="003C0DEF" w:rsidP="009F3235">
      <w:pPr>
        <w:jc w:val="both"/>
      </w:pPr>
      <w:r>
        <w:t>Objective:</w:t>
      </w:r>
      <w:r w:rsidR="00DD7101">
        <w:t xml:space="preserve"> The aim of this project was</w:t>
      </w:r>
      <w:r w:rsidR="00DD7101" w:rsidRPr="00DD7101">
        <w:t xml:space="preserve"> to decrease the time from </w:t>
      </w:r>
      <w:r w:rsidR="000D71D1">
        <w:t xml:space="preserve">confirmed </w:t>
      </w:r>
      <w:r w:rsidR="00DD7101" w:rsidRPr="00DD7101">
        <w:t xml:space="preserve">diagnosis of PE on imaging to </w:t>
      </w:r>
      <w:r w:rsidR="000D71D1">
        <w:t xml:space="preserve">anticoagulation administration </w:t>
      </w:r>
      <w:r w:rsidR="00366A25">
        <w:t xml:space="preserve">to 60 minutes </w:t>
      </w:r>
      <w:r w:rsidR="0037553B">
        <w:t xml:space="preserve">or less </w:t>
      </w:r>
      <w:r w:rsidR="00366A25">
        <w:t>(33% reduction</w:t>
      </w:r>
      <w:r w:rsidR="00DD7101" w:rsidRPr="00DD7101">
        <w:t>)</w:t>
      </w:r>
      <w:r w:rsidR="00366A25">
        <w:t>.</w:t>
      </w:r>
    </w:p>
    <w:p w14:paraId="36D97A1D" w14:textId="644F6476" w:rsidR="00892BF4" w:rsidRDefault="00892BF4" w:rsidP="009F3235">
      <w:pPr>
        <w:jc w:val="both"/>
      </w:pPr>
      <w:r>
        <w:t xml:space="preserve">Methods: </w:t>
      </w:r>
      <w:r w:rsidRPr="00835D77">
        <w:rPr>
          <w:rFonts w:cstheme="minorHAnsi"/>
        </w:rPr>
        <w:t xml:space="preserve">An interdisciplinary team </w:t>
      </w:r>
      <w:r>
        <w:rPr>
          <w:rFonts w:cstheme="minorHAnsi"/>
        </w:rPr>
        <w:t xml:space="preserve">including </w:t>
      </w:r>
      <w:r>
        <w:t>providers, pharmacists, and nurses</w:t>
      </w:r>
      <w:r>
        <w:rPr>
          <w:rFonts w:cstheme="minorHAnsi"/>
        </w:rPr>
        <w:t xml:space="preserve"> </w:t>
      </w:r>
      <w:r w:rsidR="00A01B5A">
        <w:rPr>
          <w:rFonts w:cstheme="minorHAnsi"/>
        </w:rPr>
        <w:t xml:space="preserve">utilized </w:t>
      </w:r>
      <w:r>
        <w:rPr>
          <w:rFonts w:cstheme="minorHAnsi"/>
        </w:rPr>
        <w:t>Plan-Do-Study-</w:t>
      </w:r>
      <w:r w:rsidR="00A01B5A">
        <w:rPr>
          <w:rFonts w:cstheme="minorHAnsi"/>
        </w:rPr>
        <w:t>Act (PDSA) cycle methodology</w:t>
      </w:r>
      <w:r>
        <w:rPr>
          <w:rFonts w:cstheme="minorHAnsi"/>
        </w:rPr>
        <w:t xml:space="preserve">. The team constructed </w:t>
      </w:r>
      <w:r>
        <w:t>a p</w:t>
      </w:r>
      <w:r w:rsidR="00225601">
        <w:t>rocess map of the current state, and</w:t>
      </w:r>
      <w:r>
        <w:t xml:space="preserve"> </w:t>
      </w:r>
      <w:r w:rsidR="0077118A">
        <w:t>potential causes for anticoagulation delays were categorized into a fishbone diagram</w:t>
      </w:r>
      <w:r w:rsidR="0077118A">
        <w:rPr>
          <w:rStyle w:val="CommentReference"/>
        </w:rPr>
        <w:t/>
      </w:r>
      <w:r>
        <w:t xml:space="preserve">. To characterize the </w:t>
      </w:r>
      <w:r w:rsidR="00563A61">
        <w:t>impact</w:t>
      </w:r>
      <w:r>
        <w:t xml:space="preserve"> on time to anticoagulation, data </w:t>
      </w:r>
      <w:r w:rsidR="00563A61">
        <w:t xml:space="preserve">on reasons for anticoagulation delays </w:t>
      </w:r>
      <w:r>
        <w:t xml:space="preserve">was collected from the electronic </w:t>
      </w:r>
      <w:r w:rsidR="00510F05">
        <w:t xml:space="preserve">medical </w:t>
      </w:r>
      <w:r>
        <w:t xml:space="preserve">record </w:t>
      </w:r>
      <w:r w:rsidR="00510F05">
        <w:t xml:space="preserve">(EMR) </w:t>
      </w:r>
      <w:r>
        <w:t xml:space="preserve">and analyzed using a Pareto chart. </w:t>
      </w:r>
      <w:r w:rsidR="00563A61">
        <w:t>An</w:t>
      </w:r>
      <w:r>
        <w:t xml:space="preserve"> intervention was chosen using a priority matrix and will be implemented. </w:t>
      </w:r>
      <w:r w:rsidR="007E13EB">
        <w:t>Its</w:t>
      </w:r>
      <w:r>
        <w:t xml:space="preserve"> effect on time to anticoagulation will be measured and analyzed with a Statistical Process Control (SPC) chart.</w:t>
      </w:r>
    </w:p>
    <w:p w14:paraId="502E6E6B" w14:textId="54CDFE59" w:rsidR="004A1E5D" w:rsidRDefault="003C0DEF" w:rsidP="009F3235">
      <w:pPr>
        <w:jc w:val="both"/>
      </w:pPr>
      <w:r>
        <w:t>Results:</w:t>
      </w:r>
      <w:r w:rsidR="00930D11">
        <w:t xml:space="preserve"> </w:t>
      </w:r>
      <w:r w:rsidR="00750B58">
        <w:t xml:space="preserve">Twenty </w:t>
      </w:r>
      <w:r w:rsidR="00116579">
        <w:t xml:space="preserve">patients were included in </w:t>
      </w:r>
      <w:r w:rsidR="00750B58">
        <w:t xml:space="preserve">baseline </w:t>
      </w:r>
      <w:r w:rsidR="00116579">
        <w:t>analysis</w:t>
      </w:r>
      <w:r w:rsidR="00252213">
        <w:t>. The median time from CTPA result notification</w:t>
      </w:r>
      <w:r w:rsidR="00116579">
        <w:t xml:space="preserve"> to </w:t>
      </w:r>
      <w:r w:rsidR="00750B58">
        <w:t xml:space="preserve">anticoagulant </w:t>
      </w:r>
      <w:r w:rsidR="00116579">
        <w:t>order placement</w:t>
      </w:r>
      <w:r w:rsidR="00252213">
        <w:t xml:space="preserve"> </w:t>
      </w:r>
      <w:r w:rsidR="00116579">
        <w:t xml:space="preserve">was 50 minutes. The median time from order placement to </w:t>
      </w:r>
      <w:r w:rsidR="00252213">
        <w:t>pharmacist verification</w:t>
      </w:r>
      <w:r w:rsidR="00116579">
        <w:t xml:space="preserve"> was 7 minutes, and the median time </w:t>
      </w:r>
      <w:r w:rsidR="00252213">
        <w:t xml:space="preserve">anticoagulation administration from order verification was 29 minutes. </w:t>
      </w:r>
      <w:r w:rsidR="00116579">
        <w:t>In 100% of patients</w:t>
      </w:r>
      <w:r w:rsidR="001424E7">
        <w:t>,</w:t>
      </w:r>
      <w:r w:rsidR="00116579">
        <w:t xml:space="preserve"> anticoagul</w:t>
      </w:r>
      <w:r w:rsidR="00BF2428">
        <w:t>ation was not ordered STAT, and anticoagulation was deferred until after PERT alert initiation 60% of the time</w:t>
      </w:r>
      <w:r w:rsidR="00116579">
        <w:t xml:space="preserve">. The time to placement of </w:t>
      </w:r>
      <w:r w:rsidR="00BF2428">
        <w:t xml:space="preserve">anticoagulant order </w:t>
      </w:r>
      <w:r w:rsidR="00116579">
        <w:t xml:space="preserve">after CTPA confirmation was greater than 15 minutes in 50% of patients and anticoagulation was administered more than 30 minutes after verification 45% of the time. These barriers accounted for 80% of </w:t>
      </w:r>
      <w:r w:rsidR="005D7970">
        <w:t>anticoagulation delays</w:t>
      </w:r>
      <w:r w:rsidR="00116579">
        <w:t xml:space="preserve">. </w:t>
      </w:r>
      <w:bookmarkStart w:id="0" w:name="_GoBack"/>
      <w:bookmarkEnd w:id="0"/>
    </w:p>
    <w:p w14:paraId="204EEE71" w14:textId="67735B1D" w:rsidR="003C0DEF" w:rsidRDefault="003C0DEF" w:rsidP="009F3235">
      <w:pPr>
        <w:jc w:val="both"/>
      </w:pPr>
      <w:r>
        <w:t>Conclusion:</w:t>
      </w:r>
      <w:r w:rsidR="00F34503">
        <w:t xml:space="preserve"> </w:t>
      </w:r>
      <w:r w:rsidR="001A3CFF">
        <w:t xml:space="preserve">The PDSA cycle methodology identified several barriers to </w:t>
      </w:r>
      <w:r w:rsidR="00623DB0">
        <w:t xml:space="preserve">early </w:t>
      </w:r>
      <w:r w:rsidR="001A3CFF">
        <w:t xml:space="preserve">anticoagulation in patients with </w:t>
      </w:r>
      <w:r w:rsidR="00510F05">
        <w:t>PE</w:t>
      </w:r>
      <w:r w:rsidR="001A3CFF">
        <w:t>. To</w:t>
      </w:r>
      <w:r w:rsidR="00510F05">
        <w:t xml:space="preserve"> achieve the aim of decreasing time to anticoagulation,</w:t>
      </w:r>
      <w:r w:rsidR="001A3CFF">
        <w:t xml:space="preserve"> a </w:t>
      </w:r>
      <w:r w:rsidR="00510F05">
        <w:t xml:space="preserve">new order set to be used for suspected PE </w:t>
      </w:r>
      <w:r w:rsidR="001A3CFF">
        <w:t>will be implemented</w:t>
      </w:r>
      <w:r w:rsidR="00510F05">
        <w:t xml:space="preserve"> in the EMR</w:t>
      </w:r>
      <w:r w:rsidR="001A3CFF">
        <w:t xml:space="preserve">. Further investigation </w:t>
      </w:r>
      <w:r w:rsidR="00510F05">
        <w:t xml:space="preserve">will </w:t>
      </w:r>
      <w:r w:rsidR="001A3CFF">
        <w:t xml:space="preserve">assess the effect of this intervention and identify areas for further improvement. </w:t>
      </w:r>
    </w:p>
    <w:sectPr w:rsidR="003C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5D"/>
    <w:rsid w:val="000D71D1"/>
    <w:rsid w:val="00116579"/>
    <w:rsid w:val="001424E7"/>
    <w:rsid w:val="001A3CFF"/>
    <w:rsid w:val="00225601"/>
    <w:rsid w:val="00252213"/>
    <w:rsid w:val="00353988"/>
    <w:rsid w:val="00366A25"/>
    <w:rsid w:val="0037553B"/>
    <w:rsid w:val="003C0DEF"/>
    <w:rsid w:val="004700B2"/>
    <w:rsid w:val="00477645"/>
    <w:rsid w:val="004A1E5D"/>
    <w:rsid w:val="00510F05"/>
    <w:rsid w:val="00563A61"/>
    <w:rsid w:val="005D7970"/>
    <w:rsid w:val="00623DB0"/>
    <w:rsid w:val="006B5571"/>
    <w:rsid w:val="006E5E16"/>
    <w:rsid w:val="00713478"/>
    <w:rsid w:val="00750B58"/>
    <w:rsid w:val="0077118A"/>
    <w:rsid w:val="007E13EB"/>
    <w:rsid w:val="0080134C"/>
    <w:rsid w:val="00801B07"/>
    <w:rsid w:val="008667BD"/>
    <w:rsid w:val="00892BF4"/>
    <w:rsid w:val="008A5AE0"/>
    <w:rsid w:val="00930D11"/>
    <w:rsid w:val="00981D2F"/>
    <w:rsid w:val="009F3235"/>
    <w:rsid w:val="00A01B5A"/>
    <w:rsid w:val="00A10A60"/>
    <w:rsid w:val="00A3437F"/>
    <w:rsid w:val="00A905CF"/>
    <w:rsid w:val="00B275E0"/>
    <w:rsid w:val="00BF2428"/>
    <w:rsid w:val="00C7760B"/>
    <w:rsid w:val="00D06EED"/>
    <w:rsid w:val="00DD7101"/>
    <w:rsid w:val="00E154EE"/>
    <w:rsid w:val="00E212EA"/>
    <w:rsid w:val="00E22BE5"/>
    <w:rsid w:val="00E403A8"/>
    <w:rsid w:val="00E66C06"/>
    <w:rsid w:val="00EC4A45"/>
    <w:rsid w:val="00ED2DA0"/>
    <w:rsid w:val="00F34503"/>
    <w:rsid w:val="00F36073"/>
    <w:rsid w:val="00FA41D8"/>
    <w:rsid w:val="00FC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4089"/>
  <w15:chartTrackingRefBased/>
  <w15:docId w15:val="{8889A0B1-9A11-4E63-8C21-024256DE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29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32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Steinbacher, Donna *HS</dc:creator>
  <cp:keywords/>
  <dc:description/>
  <cp:lastModifiedBy>Steinbacher, Donna *HS</cp:lastModifiedBy>
  <cp:revision>11</cp:revision>
  <dcterms:created xsi:type="dcterms:W3CDTF">2022-05-03T19:17:00Z</dcterms:created>
  <dcterms:modified xsi:type="dcterms:W3CDTF">2022-05-03T21:15:00Z</dcterms:modified>
</cp:coreProperties>
</file>