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E810" w14:textId="1C7287ED" w:rsidR="00670C0E" w:rsidRPr="00264841" w:rsidRDefault="00EA17BE" w:rsidP="00264841">
      <w:pPr>
        <w:jc w:val="center"/>
        <w:rPr>
          <w:b/>
          <w:sz w:val="20"/>
        </w:rPr>
      </w:pPr>
      <w:r w:rsidRPr="00264841">
        <w:rPr>
          <w:b/>
          <w:sz w:val="20"/>
        </w:rPr>
        <w:t>Naloxegol versus alvimopan for prevention of post-operative ileus</w:t>
      </w:r>
    </w:p>
    <w:p w14:paraId="7D58663B" w14:textId="5639FDFA" w:rsidR="00670C0E" w:rsidRDefault="00264841" w:rsidP="00670C0E">
      <w:pPr>
        <w:rPr>
          <w:sz w:val="20"/>
        </w:rPr>
      </w:pPr>
      <w:r>
        <w:rPr>
          <w:sz w:val="20"/>
          <w:u w:val="single"/>
        </w:rPr>
        <w:t>Authors</w:t>
      </w:r>
      <w:r w:rsidR="00670C0E">
        <w:rPr>
          <w:sz w:val="20"/>
        </w:rPr>
        <w:t>:</w:t>
      </w:r>
      <w:r w:rsidR="00EA17BE">
        <w:rPr>
          <w:sz w:val="20"/>
        </w:rPr>
        <w:t xml:space="preserve"> Kaitlyn Sherman, PharmD</w:t>
      </w:r>
      <w:r>
        <w:rPr>
          <w:sz w:val="20"/>
        </w:rPr>
        <w:t xml:space="preserve">, </w:t>
      </w:r>
      <w:r>
        <w:rPr>
          <w:sz w:val="20"/>
        </w:rPr>
        <w:t>Nathan Powell, PharmD., BCPS and Debra Anderson, PharmD., BCPS</w:t>
      </w:r>
    </w:p>
    <w:p w14:paraId="4356DD05" w14:textId="4F3D48D8" w:rsidR="00670C0E" w:rsidRPr="00264841" w:rsidRDefault="00264841" w:rsidP="00670C0E">
      <w:pPr>
        <w:rPr>
          <w:sz w:val="20"/>
        </w:rPr>
      </w:pPr>
      <w:r>
        <w:rPr>
          <w:sz w:val="20"/>
          <w:u w:val="single"/>
        </w:rPr>
        <w:t xml:space="preserve">Practice Site: </w:t>
      </w:r>
      <w:r>
        <w:rPr>
          <w:sz w:val="20"/>
        </w:rPr>
        <w:t xml:space="preserve">Chippenham &amp; Johnston-Willis Hospitals - Richmond, Virginia </w:t>
      </w:r>
    </w:p>
    <w:p w14:paraId="56939F6D" w14:textId="7D207895" w:rsidR="005E39C5" w:rsidRPr="00264841" w:rsidRDefault="00670C0E" w:rsidP="00670C0E">
      <w:pPr>
        <w:rPr>
          <w:sz w:val="20"/>
        </w:rPr>
      </w:pPr>
      <w:r w:rsidRPr="00FA7C25">
        <w:rPr>
          <w:sz w:val="20"/>
          <w:u w:val="single"/>
        </w:rPr>
        <w:t>Background</w:t>
      </w:r>
      <w:r>
        <w:rPr>
          <w:sz w:val="20"/>
        </w:rPr>
        <w:t>:</w:t>
      </w:r>
      <w:r w:rsidR="00AF5C5A">
        <w:rPr>
          <w:sz w:val="20"/>
        </w:rPr>
        <w:t xml:space="preserve"> Post-operative ileus is characterized as </w:t>
      </w:r>
      <w:r w:rsidR="00F9049F">
        <w:rPr>
          <w:sz w:val="20"/>
        </w:rPr>
        <w:t>prolonged absence of bowel function following a surgical procedure.</w:t>
      </w:r>
      <w:r w:rsidR="00F9049F">
        <w:rPr>
          <w:sz w:val="20"/>
          <w:vertAlign w:val="superscript"/>
        </w:rPr>
        <w:t xml:space="preserve"> </w:t>
      </w:r>
      <w:r w:rsidR="00F9049F">
        <w:rPr>
          <w:sz w:val="20"/>
        </w:rPr>
        <w:t>Symptoms generally include abdominal distension, nausea, vomiting, inability to tolerate an oral diet, and delayed passage of flatus and or/stool.</w:t>
      </w:r>
      <w:r w:rsidR="00F9049F" w:rsidRPr="00F9049F">
        <w:rPr>
          <w:sz w:val="20"/>
          <w:vertAlign w:val="superscript"/>
        </w:rPr>
        <w:t xml:space="preserve"> </w:t>
      </w:r>
      <w:r w:rsidR="00F9049F">
        <w:rPr>
          <w:sz w:val="20"/>
        </w:rPr>
        <w:t>Development of a post-operative ileus has been shown to slow recovery, increase post-operative morbidity and prolong hospital stays</w:t>
      </w:r>
      <w:r w:rsidR="00E2247A">
        <w:rPr>
          <w:sz w:val="20"/>
        </w:rPr>
        <w:t>.</w:t>
      </w:r>
      <w:r w:rsidR="00E2247A">
        <w:rPr>
          <w:sz w:val="20"/>
          <w:vertAlign w:val="superscript"/>
        </w:rPr>
        <w:t>1</w:t>
      </w:r>
      <w:r w:rsidR="00FB6C61">
        <w:rPr>
          <w:sz w:val="20"/>
          <w:vertAlign w:val="superscript"/>
        </w:rPr>
        <w:t xml:space="preserve"> </w:t>
      </w:r>
      <w:r w:rsidR="005E39C5">
        <w:rPr>
          <w:sz w:val="20"/>
        </w:rPr>
        <w:t xml:space="preserve">A degree of ileus can be expected </w:t>
      </w:r>
      <w:r w:rsidR="00FC286F">
        <w:rPr>
          <w:sz w:val="20"/>
        </w:rPr>
        <w:t>in</w:t>
      </w:r>
      <w:r w:rsidR="004E5C0E">
        <w:rPr>
          <w:sz w:val="20"/>
        </w:rPr>
        <w:t xml:space="preserve"> the</w:t>
      </w:r>
      <w:r w:rsidR="00FC286F">
        <w:rPr>
          <w:sz w:val="20"/>
        </w:rPr>
        <w:t xml:space="preserve"> early postoperative time frame</w:t>
      </w:r>
      <w:r w:rsidR="007C4469">
        <w:rPr>
          <w:sz w:val="20"/>
        </w:rPr>
        <w:t xml:space="preserve"> as part of the body’s response to the trauma of a surgical procedure</w:t>
      </w:r>
      <w:r w:rsidR="00FC286F">
        <w:rPr>
          <w:sz w:val="20"/>
        </w:rPr>
        <w:t>. A prolonged post-operative ileus is what concerns clinicians and leads to longer hospital stays. The ambiguity surrounding the definitions of a normal post-operative ileus versus prolonged creates difficulty in diagnosis</w:t>
      </w:r>
      <w:r w:rsidR="00CB4E3A">
        <w:rPr>
          <w:sz w:val="20"/>
        </w:rPr>
        <w:t xml:space="preserve"> and estimation of incidence, which is currently reported to be anywhere from 3-32%. </w:t>
      </w:r>
      <w:r w:rsidR="00FC286F">
        <w:rPr>
          <w:sz w:val="20"/>
        </w:rPr>
        <w:t xml:space="preserve">Most often, ileus </w:t>
      </w:r>
      <w:r w:rsidR="00FB6C61">
        <w:rPr>
          <w:sz w:val="20"/>
        </w:rPr>
        <w:t>is</w:t>
      </w:r>
      <w:r w:rsidR="00FC286F">
        <w:rPr>
          <w:sz w:val="20"/>
        </w:rPr>
        <w:t xml:space="preserve"> diagnosed as a result of symptom presentation with or without radiologic imaging.</w:t>
      </w:r>
      <w:r w:rsidR="00FC286F">
        <w:rPr>
          <w:sz w:val="20"/>
          <w:vertAlign w:val="superscript"/>
        </w:rPr>
        <w:t>1,2</w:t>
      </w:r>
      <w:r w:rsidR="00FC286F">
        <w:rPr>
          <w:sz w:val="20"/>
        </w:rPr>
        <w:t xml:space="preserve"> </w:t>
      </w:r>
    </w:p>
    <w:p w14:paraId="7858089D" w14:textId="77777777" w:rsidR="00AF5C5A" w:rsidRDefault="00C82594" w:rsidP="00670C0E">
      <w:pPr>
        <w:rPr>
          <w:sz w:val="20"/>
          <w:vertAlign w:val="superscript"/>
        </w:rPr>
      </w:pPr>
      <w:r>
        <w:rPr>
          <w:sz w:val="20"/>
        </w:rPr>
        <w:t xml:space="preserve">There is heavy cost burden associated with </w:t>
      </w:r>
      <w:r w:rsidR="003C7D33">
        <w:rPr>
          <w:sz w:val="20"/>
        </w:rPr>
        <w:t xml:space="preserve">developing a </w:t>
      </w:r>
      <w:r>
        <w:rPr>
          <w:sz w:val="20"/>
        </w:rPr>
        <w:t>post-operative ileus. Cost</w:t>
      </w:r>
      <w:r w:rsidR="003C7D33">
        <w:rPr>
          <w:sz w:val="20"/>
        </w:rPr>
        <w:t>s</w:t>
      </w:r>
      <w:r>
        <w:rPr>
          <w:sz w:val="20"/>
        </w:rPr>
        <w:t xml:space="preserve"> to the patient who develops a post-operative ileus </w:t>
      </w:r>
      <w:r w:rsidR="003C7D33">
        <w:rPr>
          <w:sz w:val="20"/>
        </w:rPr>
        <w:t xml:space="preserve">is estimated to be </w:t>
      </w:r>
      <w:r>
        <w:rPr>
          <w:sz w:val="20"/>
        </w:rPr>
        <w:t>about double the cost</w:t>
      </w:r>
      <w:r w:rsidR="003C7D33">
        <w:rPr>
          <w:sz w:val="20"/>
        </w:rPr>
        <w:t>s</w:t>
      </w:r>
      <w:r>
        <w:rPr>
          <w:sz w:val="20"/>
        </w:rPr>
        <w:t xml:space="preserve"> to the patient who does not.</w:t>
      </w:r>
      <w:r w:rsidR="00FC286F">
        <w:rPr>
          <w:sz w:val="20"/>
          <w:vertAlign w:val="superscript"/>
        </w:rPr>
        <w:t>3</w:t>
      </w:r>
      <w:r>
        <w:rPr>
          <w:sz w:val="20"/>
          <w:vertAlign w:val="superscript"/>
        </w:rPr>
        <w:t xml:space="preserve"> </w:t>
      </w:r>
      <w:r w:rsidR="005E39C5">
        <w:rPr>
          <w:sz w:val="20"/>
        </w:rPr>
        <w:t>A</w:t>
      </w:r>
      <w:r>
        <w:rPr>
          <w:sz w:val="20"/>
        </w:rPr>
        <w:t xml:space="preserve">nnual </w:t>
      </w:r>
      <w:r w:rsidR="003C7D33">
        <w:rPr>
          <w:sz w:val="20"/>
        </w:rPr>
        <w:t xml:space="preserve">national </w:t>
      </w:r>
      <w:r>
        <w:rPr>
          <w:sz w:val="20"/>
        </w:rPr>
        <w:t xml:space="preserve">cost of management in the US is </w:t>
      </w:r>
      <w:r w:rsidR="005E39C5">
        <w:rPr>
          <w:sz w:val="20"/>
        </w:rPr>
        <w:t xml:space="preserve">estimated to be </w:t>
      </w:r>
      <w:r>
        <w:rPr>
          <w:sz w:val="20"/>
        </w:rPr>
        <w:t>about $1.5 billion.</w:t>
      </w:r>
      <w:r>
        <w:rPr>
          <w:sz w:val="20"/>
          <w:vertAlign w:val="superscript"/>
        </w:rPr>
        <w:t>1</w:t>
      </w:r>
      <w:r w:rsidR="00E2247A">
        <w:rPr>
          <w:sz w:val="20"/>
          <w:vertAlign w:val="superscript"/>
        </w:rPr>
        <w:t xml:space="preserve"> </w:t>
      </w:r>
      <w:r w:rsidR="00334C8A">
        <w:rPr>
          <w:sz w:val="20"/>
        </w:rPr>
        <w:t>Factors thought to place patients at increased risk of developing a post-operative ileus include male sex, comorbid conditions, increasing age, and/or abdominal surgery.</w:t>
      </w:r>
      <w:r>
        <w:rPr>
          <w:sz w:val="20"/>
          <w:vertAlign w:val="superscript"/>
        </w:rPr>
        <w:t>3</w:t>
      </w:r>
    </w:p>
    <w:p w14:paraId="644F5E14" w14:textId="6428DF0F" w:rsidR="002E1CEE" w:rsidRDefault="00973E9D" w:rsidP="00670C0E">
      <w:pPr>
        <w:rPr>
          <w:sz w:val="20"/>
        </w:rPr>
      </w:pPr>
      <w:r>
        <w:rPr>
          <w:sz w:val="20"/>
        </w:rPr>
        <w:t xml:space="preserve">There is limited published data surrounding the management of post-operative ileus. Current medication therapies include peripherally acting mu-opioid receptor antagonists alvimopan and naloxegol. Alvimopan is FDA approved for the prevention of post-operative ileus, while naloxegol is currently only approved for opioid induced constipation. Previously, our institution was utilizing alvimopan for prevention of post-operative ileus. </w:t>
      </w:r>
      <w:r w:rsidR="00405CFA">
        <w:rPr>
          <w:sz w:val="20"/>
        </w:rPr>
        <w:t xml:space="preserve">Current data, although limited, indicates that there is no difference between naloxegol and alvimopan for the prevention of post-operative ileus. There does exist a </w:t>
      </w:r>
      <w:r w:rsidR="00A8086A">
        <w:rPr>
          <w:sz w:val="20"/>
        </w:rPr>
        <w:t xml:space="preserve">vast difference between the cost of the two agents. </w:t>
      </w:r>
      <w:r w:rsidR="00405CFA">
        <w:rPr>
          <w:sz w:val="20"/>
        </w:rPr>
        <w:t>By switching formulary from alvimopan to naloxegol</w:t>
      </w:r>
      <w:r w:rsidR="00A8086A">
        <w:rPr>
          <w:sz w:val="20"/>
        </w:rPr>
        <w:t xml:space="preserve"> projected</w:t>
      </w:r>
      <w:r w:rsidR="00405CFA">
        <w:rPr>
          <w:sz w:val="20"/>
        </w:rPr>
        <w:t xml:space="preserve"> drug</w:t>
      </w:r>
      <w:r w:rsidR="00A8086A">
        <w:rPr>
          <w:sz w:val="20"/>
        </w:rPr>
        <w:t xml:space="preserve"> acquisition</w:t>
      </w:r>
      <w:r w:rsidR="00BB6D4B">
        <w:rPr>
          <w:sz w:val="20"/>
        </w:rPr>
        <w:t xml:space="preserve"> cost,</w:t>
      </w:r>
      <w:r w:rsidR="00A8086A">
        <w:rPr>
          <w:sz w:val="20"/>
        </w:rPr>
        <w:t xml:space="preserve"> </w:t>
      </w:r>
      <w:r w:rsidR="00BB6D4B">
        <w:rPr>
          <w:sz w:val="20"/>
        </w:rPr>
        <w:t>defined by average wholesale price,</w:t>
      </w:r>
      <w:r w:rsidR="00A8086A">
        <w:rPr>
          <w:sz w:val="20"/>
        </w:rPr>
        <w:t xml:space="preserve"> would be decreased by about 90%.</w:t>
      </w:r>
      <w:r w:rsidR="005E39C5">
        <w:rPr>
          <w:sz w:val="20"/>
        </w:rPr>
        <w:t xml:space="preserve"> </w:t>
      </w:r>
      <w:r>
        <w:rPr>
          <w:sz w:val="20"/>
        </w:rPr>
        <w:t xml:space="preserve">Following approval from the pharmacy and therapeutics committee in September of 2021, naloxegol </w:t>
      </w:r>
      <w:r w:rsidR="00405CFA">
        <w:rPr>
          <w:sz w:val="20"/>
        </w:rPr>
        <w:t xml:space="preserve">officially </w:t>
      </w:r>
      <w:r>
        <w:rPr>
          <w:sz w:val="20"/>
        </w:rPr>
        <w:t>replaced alvimopan on formulary</w:t>
      </w:r>
      <w:r w:rsidR="00405CFA">
        <w:rPr>
          <w:sz w:val="20"/>
        </w:rPr>
        <w:t xml:space="preserve"> at </w:t>
      </w:r>
      <w:r w:rsidR="0047503E">
        <w:rPr>
          <w:sz w:val="20"/>
        </w:rPr>
        <w:t>CJW</w:t>
      </w:r>
      <w:bookmarkStart w:id="0" w:name="_GoBack"/>
      <w:bookmarkEnd w:id="0"/>
      <w:r>
        <w:rPr>
          <w:sz w:val="20"/>
        </w:rPr>
        <w:t xml:space="preserve"> on October 11, 2021. </w:t>
      </w:r>
    </w:p>
    <w:p w14:paraId="47DEF38C" w14:textId="770C4178" w:rsidR="00BE540D" w:rsidRDefault="00BE540D" w:rsidP="00BE540D">
      <w:pPr>
        <w:rPr>
          <w:sz w:val="20"/>
        </w:rPr>
      </w:pPr>
      <w:r w:rsidRPr="00BE540D">
        <w:rPr>
          <w:sz w:val="20"/>
          <w:u w:val="single"/>
        </w:rPr>
        <w:t>Objectives</w:t>
      </w:r>
      <w:r w:rsidR="00670C0E">
        <w:rPr>
          <w:sz w:val="20"/>
        </w:rPr>
        <w:t xml:space="preserve">: </w:t>
      </w:r>
      <w:r>
        <w:rPr>
          <w:sz w:val="20"/>
        </w:rPr>
        <w:t>The purpose of this study is to compare outcomes of surgical patients treated with naloxegol versus alvimopan to prevent post-operative ileus. The primary objective</w:t>
      </w:r>
      <w:r w:rsidR="00595A8C">
        <w:rPr>
          <w:sz w:val="20"/>
        </w:rPr>
        <w:t>s</w:t>
      </w:r>
      <w:r>
        <w:rPr>
          <w:sz w:val="20"/>
        </w:rPr>
        <w:t xml:space="preserve"> </w:t>
      </w:r>
      <w:r w:rsidR="00595A8C">
        <w:rPr>
          <w:sz w:val="20"/>
        </w:rPr>
        <w:t xml:space="preserve">were to compare </w:t>
      </w:r>
      <w:r>
        <w:rPr>
          <w:sz w:val="20"/>
        </w:rPr>
        <w:t>length of stay</w:t>
      </w:r>
      <w:r w:rsidR="00595A8C">
        <w:rPr>
          <w:sz w:val="20"/>
        </w:rPr>
        <w:t xml:space="preserve"> and development of POI</w:t>
      </w:r>
      <w:r>
        <w:rPr>
          <w:sz w:val="20"/>
        </w:rPr>
        <w:t xml:space="preserve"> between the two groups. Secondary objectives include</w:t>
      </w:r>
      <w:r w:rsidR="00595A8C">
        <w:rPr>
          <w:sz w:val="20"/>
        </w:rPr>
        <w:t xml:space="preserve"> </w:t>
      </w:r>
      <w:r>
        <w:rPr>
          <w:sz w:val="20"/>
        </w:rPr>
        <w:t>days of therapy</w:t>
      </w:r>
      <w:r w:rsidR="00595A8C">
        <w:rPr>
          <w:sz w:val="20"/>
        </w:rPr>
        <w:t xml:space="preserve"> </w:t>
      </w:r>
      <w:r>
        <w:rPr>
          <w:sz w:val="20"/>
        </w:rPr>
        <w:t xml:space="preserve">and cost of </w:t>
      </w:r>
      <w:r w:rsidR="00595A8C">
        <w:rPr>
          <w:sz w:val="20"/>
        </w:rPr>
        <w:t>therapy</w:t>
      </w:r>
      <w:r>
        <w:rPr>
          <w:sz w:val="20"/>
        </w:rPr>
        <w:t xml:space="preserve">. </w:t>
      </w:r>
    </w:p>
    <w:p w14:paraId="16FB93F9" w14:textId="36134712" w:rsidR="00EC01DF" w:rsidRPr="006A01A9" w:rsidRDefault="00670C0E" w:rsidP="00670C0E">
      <w:pPr>
        <w:rPr>
          <w:sz w:val="20"/>
        </w:rPr>
      </w:pPr>
      <w:r w:rsidRPr="00054F03">
        <w:rPr>
          <w:sz w:val="20"/>
          <w:u w:val="single"/>
        </w:rPr>
        <w:t>Methods</w:t>
      </w:r>
      <w:r w:rsidR="00595A8C">
        <w:rPr>
          <w:sz w:val="20"/>
          <w:u w:val="single"/>
        </w:rPr>
        <w:t xml:space="preserve">: </w:t>
      </w:r>
      <w:r w:rsidR="003D46E5">
        <w:rPr>
          <w:sz w:val="20"/>
        </w:rPr>
        <w:t xml:space="preserve">This study </w:t>
      </w:r>
      <w:r w:rsidR="00264841">
        <w:rPr>
          <w:sz w:val="20"/>
        </w:rPr>
        <w:t>was</w:t>
      </w:r>
      <w:r w:rsidR="003D46E5">
        <w:rPr>
          <w:sz w:val="20"/>
        </w:rPr>
        <w:t xml:space="preserve"> a retrospective chart review of adult surgical patients treated with either naloxegol or alvimopan for </w:t>
      </w:r>
      <w:r w:rsidR="0057103E">
        <w:rPr>
          <w:sz w:val="20"/>
        </w:rPr>
        <w:t xml:space="preserve">prevention of </w:t>
      </w:r>
      <w:r w:rsidR="003D46E5">
        <w:rPr>
          <w:sz w:val="20"/>
        </w:rPr>
        <w:t xml:space="preserve">post-operative ileus between </w:t>
      </w:r>
      <w:r w:rsidR="00543EE3">
        <w:rPr>
          <w:sz w:val="20"/>
        </w:rPr>
        <w:t>June 7, 2021 and February 14, 202</w:t>
      </w:r>
      <w:r w:rsidR="008D43E4">
        <w:rPr>
          <w:sz w:val="20"/>
        </w:rPr>
        <w:t>2</w:t>
      </w:r>
      <w:r w:rsidR="00BE540D">
        <w:rPr>
          <w:sz w:val="20"/>
        </w:rPr>
        <w:t xml:space="preserve"> at CJW</w:t>
      </w:r>
      <w:r w:rsidR="00543EE3">
        <w:rPr>
          <w:sz w:val="20"/>
        </w:rPr>
        <w:t xml:space="preserve">. </w:t>
      </w:r>
      <w:r w:rsidR="008A44C9">
        <w:rPr>
          <w:sz w:val="20"/>
        </w:rPr>
        <w:t>Inclusion criteria include</w:t>
      </w:r>
      <w:r w:rsidR="00264841">
        <w:rPr>
          <w:sz w:val="20"/>
        </w:rPr>
        <w:t>d</w:t>
      </w:r>
      <w:r w:rsidR="00771F37">
        <w:rPr>
          <w:sz w:val="20"/>
        </w:rPr>
        <w:t xml:space="preserve"> surgical patients of ages 18 years or older who received naloxegol or alvimopan for prevention of post-operative ileus. </w:t>
      </w:r>
      <w:r w:rsidR="00264841">
        <w:rPr>
          <w:sz w:val="20"/>
        </w:rPr>
        <w:t>There were no exclusion criteria</w:t>
      </w:r>
      <w:r w:rsidR="00A06403">
        <w:rPr>
          <w:sz w:val="20"/>
        </w:rPr>
        <w:t xml:space="preserve">. </w:t>
      </w:r>
      <w:r w:rsidR="00264841">
        <w:rPr>
          <w:sz w:val="20"/>
        </w:rPr>
        <w:t>A total of 123 patients were reviewed</w:t>
      </w:r>
      <w:r w:rsidR="0057103E">
        <w:rPr>
          <w:sz w:val="20"/>
        </w:rPr>
        <w:t>, 60 patients in the alvimopan group and 63 patients in the naloxegol group</w:t>
      </w:r>
      <w:r w:rsidR="00771F37">
        <w:rPr>
          <w:sz w:val="20"/>
        </w:rPr>
        <w:t xml:space="preserve">. </w:t>
      </w:r>
      <w:r w:rsidR="00543EE3">
        <w:rPr>
          <w:sz w:val="20"/>
        </w:rPr>
        <w:t>De-identified data</w:t>
      </w:r>
      <w:r w:rsidR="00264841">
        <w:rPr>
          <w:sz w:val="20"/>
        </w:rPr>
        <w:t xml:space="preserve"> collected includes</w:t>
      </w:r>
      <w:r w:rsidR="00543EE3">
        <w:rPr>
          <w:sz w:val="20"/>
        </w:rPr>
        <w:t>: age</w:t>
      </w:r>
      <w:r w:rsidR="00B345DF">
        <w:rPr>
          <w:sz w:val="20"/>
        </w:rPr>
        <w:t xml:space="preserve"> (ages greater than 90 years collected as “90+”)</w:t>
      </w:r>
      <w:r w:rsidR="00543EE3">
        <w:rPr>
          <w:sz w:val="20"/>
        </w:rPr>
        <w:t xml:space="preserve">, </w:t>
      </w:r>
      <w:r w:rsidR="00EC01DF">
        <w:rPr>
          <w:sz w:val="20"/>
        </w:rPr>
        <w:t>gender</w:t>
      </w:r>
      <w:r w:rsidR="00543EE3">
        <w:rPr>
          <w:sz w:val="20"/>
        </w:rPr>
        <w:t>, race, weight, height, serum creatinine</w:t>
      </w:r>
      <w:r w:rsidR="006C3574">
        <w:rPr>
          <w:sz w:val="20"/>
        </w:rPr>
        <w:t>, length of stay,</w:t>
      </w:r>
      <w:r w:rsidR="00543EE3">
        <w:rPr>
          <w:sz w:val="20"/>
        </w:rPr>
        <w:t xml:space="preserve"> comorbid conditions (diabetes, cardiovascular diseases), concomitant bowel regimen, type of surgical intervention, primary surgeon, development of ileus, </w:t>
      </w:r>
      <w:r w:rsidR="00846ABB">
        <w:rPr>
          <w:sz w:val="20"/>
        </w:rPr>
        <w:t xml:space="preserve">and </w:t>
      </w:r>
      <w:r w:rsidR="00543EE3">
        <w:rPr>
          <w:sz w:val="20"/>
        </w:rPr>
        <w:t>number of days of therapy/number of doses received.</w:t>
      </w:r>
      <w:r w:rsidR="008C1665" w:rsidRPr="0057103E">
        <w:rPr>
          <w:sz w:val="20"/>
        </w:rPr>
        <w:t xml:space="preserve"> </w:t>
      </w:r>
      <w:r w:rsidR="00EC01DF">
        <w:rPr>
          <w:sz w:val="20"/>
        </w:rPr>
        <w:t>The differences</w:t>
      </w:r>
      <w:r w:rsidR="00FA7C25">
        <w:rPr>
          <w:sz w:val="20"/>
        </w:rPr>
        <w:t xml:space="preserve"> in length of stay, </w:t>
      </w:r>
      <w:r w:rsidR="00F834BA">
        <w:rPr>
          <w:sz w:val="20"/>
        </w:rPr>
        <w:t xml:space="preserve">development of post-operative ileus, days of therapy, and cost of hospitalization will be analyzed for clinical significance using statistical tests. </w:t>
      </w:r>
      <w:r w:rsidR="00EC01DF">
        <w:rPr>
          <w:sz w:val="20"/>
        </w:rPr>
        <w:t xml:space="preserve">Descriptive statistics </w:t>
      </w:r>
      <w:r w:rsidR="000E5481">
        <w:rPr>
          <w:sz w:val="20"/>
        </w:rPr>
        <w:t>were</w:t>
      </w:r>
      <w:r w:rsidR="00EC01DF">
        <w:rPr>
          <w:sz w:val="20"/>
        </w:rPr>
        <w:t xml:space="preserve"> applied between the two cohorts to analyze </w:t>
      </w:r>
      <w:r w:rsidR="00414F10">
        <w:rPr>
          <w:sz w:val="20"/>
        </w:rPr>
        <w:t xml:space="preserve">morbidity and duration of </w:t>
      </w:r>
      <w:r w:rsidR="00C13288">
        <w:rPr>
          <w:sz w:val="20"/>
        </w:rPr>
        <w:t xml:space="preserve">therapy </w:t>
      </w:r>
      <w:r w:rsidR="00931B6A">
        <w:rPr>
          <w:sz w:val="20"/>
        </w:rPr>
        <w:t>required for prevention of post-operative ileus.</w:t>
      </w:r>
    </w:p>
    <w:p w14:paraId="402B2BDF" w14:textId="65BF92DB" w:rsidR="00264841" w:rsidRDefault="00264841" w:rsidP="00670C0E">
      <w:pPr>
        <w:rPr>
          <w:sz w:val="20"/>
        </w:rPr>
      </w:pPr>
      <w:r w:rsidRPr="006A01A9">
        <w:rPr>
          <w:sz w:val="20"/>
          <w:u w:val="single"/>
        </w:rPr>
        <w:t>Preliminary Results</w:t>
      </w:r>
      <w:r w:rsidRPr="006A01A9">
        <w:rPr>
          <w:sz w:val="20"/>
        </w:rPr>
        <w:t>:</w:t>
      </w:r>
      <w:r w:rsidR="00446FDE">
        <w:rPr>
          <w:sz w:val="20"/>
        </w:rPr>
        <w:t xml:space="preserve"> The average length of stay for each group </w:t>
      </w:r>
      <w:r w:rsidR="00446FDE" w:rsidRPr="006A01A9">
        <w:rPr>
          <w:sz w:val="20"/>
        </w:rPr>
        <w:t>was: 3.5</w:t>
      </w:r>
      <w:r w:rsidR="006A01A9" w:rsidRPr="006A01A9">
        <w:rPr>
          <w:sz w:val="20"/>
        </w:rPr>
        <w:t xml:space="preserve"> </w:t>
      </w:r>
      <w:r w:rsidR="006A01A9" w:rsidRPr="006A01A9">
        <w:rPr>
          <w:sz w:val="20"/>
        </w:rPr>
        <w:t>±</w:t>
      </w:r>
      <w:r w:rsidR="006A01A9" w:rsidRPr="006A01A9">
        <w:rPr>
          <w:sz w:val="20"/>
        </w:rPr>
        <w:t xml:space="preserve"> 2.9</w:t>
      </w:r>
      <w:r w:rsidR="00446FDE" w:rsidRPr="006A01A9">
        <w:rPr>
          <w:sz w:val="20"/>
        </w:rPr>
        <w:t xml:space="preserve"> da</w:t>
      </w:r>
      <w:r w:rsidR="00446FDE">
        <w:rPr>
          <w:sz w:val="20"/>
        </w:rPr>
        <w:t xml:space="preserve">ys in the alvimopan group and </w:t>
      </w:r>
      <w:r w:rsidR="006A01A9">
        <w:rPr>
          <w:sz w:val="20"/>
        </w:rPr>
        <w:br/>
      </w:r>
      <w:r w:rsidR="00446FDE" w:rsidRPr="00446FDE">
        <w:rPr>
          <w:sz w:val="20"/>
        </w:rPr>
        <w:t>4.</w:t>
      </w:r>
      <w:r w:rsidR="00446FDE" w:rsidRPr="006A01A9">
        <w:rPr>
          <w:sz w:val="20"/>
        </w:rPr>
        <w:t xml:space="preserve">1 </w:t>
      </w:r>
      <w:r w:rsidR="006A01A9" w:rsidRPr="006A01A9">
        <w:rPr>
          <w:sz w:val="20"/>
        </w:rPr>
        <w:t xml:space="preserve">± 3.4 </w:t>
      </w:r>
      <w:r w:rsidR="00446FDE">
        <w:rPr>
          <w:sz w:val="20"/>
        </w:rPr>
        <w:t>days in the naloxegol group</w:t>
      </w:r>
      <w:r w:rsidR="006A01A9">
        <w:rPr>
          <w:sz w:val="20"/>
        </w:rPr>
        <w:t xml:space="preserve">. </w:t>
      </w:r>
      <w:r w:rsidR="00446FDE">
        <w:rPr>
          <w:sz w:val="20"/>
        </w:rPr>
        <w:t xml:space="preserve">A total of 7 patients in the alvimopan group (12%) and 4 patients in the naloxegol </w:t>
      </w:r>
      <w:r w:rsidR="00446FDE">
        <w:rPr>
          <w:sz w:val="20"/>
        </w:rPr>
        <w:t>group</w:t>
      </w:r>
      <w:r w:rsidR="00446FDE">
        <w:rPr>
          <w:sz w:val="20"/>
        </w:rPr>
        <w:t xml:space="preserve"> (6%)</w:t>
      </w:r>
      <w:r w:rsidR="00446FDE">
        <w:rPr>
          <w:sz w:val="20"/>
        </w:rPr>
        <w:t xml:space="preserve"> developed a POI</w:t>
      </w:r>
      <w:r w:rsidR="00446FDE">
        <w:rPr>
          <w:sz w:val="20"/>
        </w:rPr>
        <w:t>. The average number of post-operative doses required between each group was</w:t>
      </w:r>
      <w:r w:rsidR="004925F7">
        <w:rPr>
          <w:sz w:val="20"/>
        </w:rPr>
        <w:t>:</w:t>
      </w:r>
      <w:r w:rsidR="00446FDE">
        <w:rPr>
          <w:sz w:val="20"/>
        </w:rPr>
        <w:t xml:space="preserve"> 2.3 doses in the alvimopan group and 1.9 doses in the naloxegol group</w:t>
      </w:r>
      <w:r w:rsidR="004925F7">
        <w:rPr>
          <w:sz w:val="20"/>
        </w:rPr>
        <w:t xml:space="preserve">. Number of doses correlated to days of </w:t>
      </w:r>
      <w:r w:rsidR="004925F7">
        <w:rPr>
          <w:sz w:val="20"/>
        </w:rPr>
        <w:lastRenderedPageBreak/>
        <w:t>therapy based on dosing schedule, alvimopan is twice daily dosing and naloxegol is once daily dosing. Days of therapy between the two groups was: 1.</w:t>
      </w:r>
      <w:r w:rsidR="006A01A9">
        <w:rPr>
          <w:sz w:val="20"/>
        </w:rPr>
        <w:t>6</w:t>
      </w:r>
      <w:r w:rsidR="004925F7">
        <w:rPr>
          <w:sz w:val="20"/>
        </w:rPr>
        <w:t xml:space="preserve"> days in the alvimopan group and </w:t>
      </w:r>
      <w:r w:rsidR="006A01A9">
        <w:rPr>
          <w:sz w:val="20"/>
        </w:rPr>
        <w:t>2.7</w:t>
      </w:r>
      <w:r w:rsidR="004925F7">
        <w:rPr>
          <w:sz w:val="20"/>
        </w:rPr>
        <w:t xml:space="preserve"> naloxegol group.</w:t>
      </w:r>
    </w:p>
    <w:p w14:paraId="16F1CECD" w14:textId="574F9A9E" w:rsidR="00595A8C" w:rsidRPr="00595A8C" w:rsidRDefault="00264841" w:rsidP="00595A8C">
      <w:pPr>
        <w:rPr>
          <w:sz w:val="20"/>
        </w:rPr>
      </w:pPr>
      <w:r>
        <w:rPr>
          <w:sz w:val="20"/>
          <w:u w:val="single"/>
        </w:rPr>
        <w:t>Conclusion:</w:t>
      </w:r>
      <w:r w:rsidR="00595A8C">
        <w:rPr>
          <w:sz w:val="20"/>
        </w:rPr>
        <w:t xml:space="preserve"> </w:t>
      </w:r>
      <w:r w:rsidR="00446FDE">
        <w:rPr>
          <w:sz w:val="20"/>
        </w:rPr>
        <w:t>There was n</w:t>
      </w:r>
      <w:r w:rsidR="00595A8C" w:rsidRPr="00595A8C">
        <w:rPr>
          <w:sz w:val="20"/>
        </w:rPr>
        <w:t>o statistical difference seen in length of stay or development of POI between alvimopan and naloxegol treatment groups</w:t>
      </w:r>
      <w:r w:rsidR="00446FDE">
        <w:rPr>
          <w:sz w:val="20"/>
        </w:rPr>
        <w:t>. An annual acquisition cost reduction of $1</w:t>
      </w:r>
      <w:r w:rsidR="006A01A9">
        <w:rPr>
          <w:sz w:val="20"/>
        </w:rPr>
        <w:t xml:space="preserve">14,880.08 </w:t>
      </w:r>
      <w:r w:rsidR="00446FDE">
        <w:rPr>
          <w:sz w:val="20"/>
        </w:rPr>
        <w:t xml:space="preserve">was seen in the naloxegol treatment group. Based on these preliminary results, we believe naloxegol is a cost-effective alternative to alvimopan for the prevention of POI in adult surgical patients. </w:t>
      </w:r>
    </w:p>
    <w:p w14:paraId="4C686CCE" w14:textId="77777777" w:rsidR="00F9049F" w:rsidRDefault="00F9049F" w:rsidP="00670C0E">
      <w:pPr>
        <w:rPr>
          <w:sz w:val="20"/>
        </w:rPr>
      </w:pPr>
    </w:p>
    <w:p w14:paraId="5D230143" w14:textId="77777777" w:rsidR="00F9049F" w:rsidRDefault="00F9049F" w:rsidP="00670C0E">
      <w:pPr>
        <w:rPr>
          <w:sz w:val="20"/>
        </w:rPr>
      </w:pPr>
      <w:r>
        <w:rPr>
          <w:sz w:val="20"/>
        </w:rPr>
        <w:t>References:</w:t>
      </w:r>
    </w:p>
    <w:p w14:paraId="22F44CCB" w14:textId="4D0F2197" w:rsidR="00F9049F" w:rsidRPr="00152BAE" w:rsidRDefault="00152BAE" w:rsidP="00F9049F">
      <w:pPr>
        <w:pStyle w:val="ListParagraph"/>
        <w:numPr>
          <w:ilvl w:val="0"/>
          <w:numId w:val="2"/>
        </w:numPr>
        <w:rPr>
          <w:sz w:val="20"/>
        </w:rPr>
      </w:pPr>
      <w:proofErr w:type="spellStart"/>
      <w:r>
        <w:rPr>
          <w:sz w:val="20"/>
        </w:rPr>
        <w:t>Vather</w:t>
      </w:r>
      <w:proofErr w:type="spellEnd"/>
      <w:r>
        <w:rPr>
          <w:sz w:val="20"/>
        </w:rPr>
        <w:t xml:space="preserve"> R, et al. </w:t>
      </w:r>
      <w:r w:rsidR="00F9049F" w:rsidRPr="00F9049F">
        <w:rPr>
          <w:sz w:val="20"/>
        </w:rPr>
        <w:t xml:space="preserve">Journal of </w:t>
      </w:r>
      <w:r>
        <w:rPr>
          <w:sz w:val="20"/>
        </w:rPr>
        <w:t>G</w:t>
      </w:r>
      <w:r w:rsidR="00F9049F" w:rsidRPr="00F9049F">
        <w:rPr>
          <w:sz w:val="20"/>
        </w:rPr>
        <w:t xml:space="preserve">astrointestinal </w:t>
      </w:r>
      <w:r>
        <w:rPr>
          <w:sz w:val="20"/>
        </w:rPr>
        <w:t>S</w:t>
      </w:r>
      <w:r w:rsidR="00F9049F" w:rsidRPr="00F9049F">
        <w:rPr>
          <w:sz w:val="20"/>
        </w:rPr>
        <w:t>urgery. 201</w:t>
      </w:r>
      <w:r>
        <w:rPr>
          <w:sz w:val="20"/>
        </w:rPr>
        <w:t>3</w:t>
      </w:r>
      <w:r w:rsidR="00F9049F" w:rsidRPr="00F9049F">
        <w:rPr>
          <w:sz w:val="20"/>
        </w:rPr>
        <w:t>; 17(5): 962-</w:t>
      </w:r>
      <w:r>
        <w:rPr>
          <w:sz w:val="20"/>
        </w:rPr>
        <w:t>9</w:t>
      </w:r>
      <w:r w:rsidR="00F9049F" w:rsidRPr="00F9049F">
        <w:rPr>
          <w:sz w:val="20"/>
        </w:rPr>
        <w:t>72.</w:t>
      </w:r>
    </w:p>
    <w:p w14:paraId="1132DF57" w14:textId="553AFDF8" w:rsidR="00FC286F" w:rsidRPr="00152BAE" w:rsidRDefault="00152BAE" w:rsidP="00F9049F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Bragg D, et al. </w:t>
      </w:r>
      <w:r w:rsidR="00FC286F" w:rsidRPr="00152BAE">
        <w:rPr>
          <w:sz w:val="20"/>
        </w:rPr>
        <w:t xml:space="preserve">Clin </w:t>
      </w:r>
      <w:proofErr w:type="spellStart"/>
      <w:r w:rsidR="00FC286F" w:rsidRPr="00152BAE">
        <w:rPr>
          <w:sz w:val="20"/>
        </w:rPr>
        <w:t>Nutr</w:t>
      </w:r>
      <w:proofErr w:type="spellEnd"/>
      <w:r w:rsidR="00FC286F" w:rsidRPr="00152BAE">
        <w:rPr>
          <w:sz w:val="20"/>
        </w:rPr>
        <w:t xml:space="preserve"> 2015;34(3):367-376.</w:t>
      </w:r>
    </w:p>
    <w:p w14:paraId="67AECD0B" w14:textId="73C7463E" w:rsidR="00C82594" w:rsidRPr="00152BAE" w:rsidRDefault="00152BAE" w:rsidP="00F9049F">
      <w:pPr>
        <w:pStyle w:val="ListParagraph"/>
        <w:numPr>
          <w:ilvl w:val="0"/>
          <w:numId w:val="2"/>
        </w:numPr>
        <w:rPr>
          <w:sz w:val="20"/>
        </w:rPr>
      </w:pPr>
      <w:proofErr w:type="spellStart"/>
      <w:r>
        <w:rPr>
          <w:sz w:val="20"/>
        </w:rPr>
        <w:t>Asgeirson</w:t>
      </w:r>
      <w:proofErr w:type="spellEnd"/>
      <w:r>
        <w:rPr>
          <w:sz w:val="20"/>
        </w:rPr>
        <w:t xml:space="preserve"> T, et al. </w:t>
      </w:r>
      <w:r w:rsidR="00C82594" w:rsidRPr="00152BAE">
        <w:rPr>
          <w:sz w:val="20"/>
        </w:rPr>
        <w:t>J Am Coll Surg. 2010;210(2):228-231.</w:t>
      </w:r>
    </w:p>
    <w:p w14:paraId="37FD00EE" w14:textId="68BEB49F" w:rsidR="00C82594" w:rsidRDefault="00C82594" w:rsidP="00FC286F">
      <w:pPr>
        <w:ind w:left="360"/>
        <w:rPr>
          <w:sz w:val="18"/>
        </w:rPr>
      </w:pPr>
    </w:p>
    <w:p w14:paraId="772433C4" w14:textId="42E2D7A5" w:rsidR="00961E70" w:rsidRDefault="00961E70" w:rsidP="00FC286F">
      <w:pPr>
        <w:ind w:left="360"/>
        <w:rPr>
          <w:sz w:val="18"/>
        </w:rPr>
      </w:pPr>
    </w:p>
    <w:p w14:paraId="1377AF15" w14:textId="71847FCF" w:rsidR="00961E70" w:rsidRDefault="00961E70" w:rsidP="00FC286F">
      <w:pPr>
        <w:ind w:left="360"/>
        <w:rPr>
          <w:sz w:val="18"/>
        </w:rPr>
      </w:pPr>
    </w:p>
    <w:p w14:paraId="03281779" w14:textId="3A8884DA" w:rsidR="00961E70" w:rsidRPr="00961E70" w:rsidRDefault="00961E70" w:rsidP="00FC286F">
      <w:pPr>
        <w:ind w:left="360"/>
        <w:rPr>
          <w:rFonts w:ascii="Freestyle Script" w:hAnsi="Freestyle Script"/>
          <w:sz w:val="18"/>
        </w:rPr>
      </w:pPr>
    </w:p>
    <w:sectPr w:rsidR="00961E70" w:rsidRPr="00961E70" w:rsidSect="00543E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EAD22" w14:textId="77777777" w:rsidR="00A14AB9" w:rsidRDefault="00A14AB9" w:rsidP="00E92561">
      <w:pPr>
        <w:spacing w:after="0" w:line="240" w:lineRule="auto"/>
      </w:pPr>
      <w:r>
        <w:separator/>
      </w:r>
    </w:p>
  </w:endnote>
  <w:endnote w:type="continuationSeparator" w:id="0">
    <w:p w14:paraId="695B1919" w14:textId="77777777" w:rsidR="00A14AB9" w:rsidRDefault="00A14AB9" w:rsidP="00E9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114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BB2B2" w14:textId="01071B40" w:rsidR="00595A8C" w:rsidRDefault="00595A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6B1408" w14:textId="77777777" w:rsidR="00E92561" w:rsidRPr="00E92561" w:rsidRDefault="00E92561">
    <w:pPr>
      <w:pStyle w:val="Footer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97575" w14:textId="77777777" w:rsidR="00A14AB9" w:rsidRDefault="00A14AB9" w:rsidP="00E92561">
      <w:pPr>
        <w:spacing w:after="0" w:line="240" w:lineRule="auto"/>
      </w:pPr>
      <w:r>
        <w:separator/>
      </w:r>
    </w:p>
  </w:footnote>
  <w:footnote w:type="continuationSeparator" w:id="0">
    <w:p w14:paraId="07C8F821" w14:textId="77777777" w:rsidR="00A14AB9" w:rsidRDefault="00A14AB9" w:rsidP="00E9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1B9"/>
    <w:multiLevelType w:val="hybridMultilevel"/>
    <w:tmpl w:val="122C9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8C6"/>
    <w:multiLevelType w:val="hybridMultilevel"/>
    <w:tmpl w:val="8DD0FC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57F2E22"/>
    <w:multiLevelType w:val="hybridMultilevel"/>
    <w:tmpl w:val="32DA3884"/>
    <w:lvl w:ilvl="0" w:tplc="B2D05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EE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08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61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CE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AD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C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ED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A2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0E"/>
    <w:rsid w:val="00023214"/>
    <w:rsid w:val="00054F03"/>
    <w:rsid w:val="000E5481"/>
    <w:rsid w:val="00152BAE"/>
    <w:rsid w:val="002404ED"/>
    <w:rsid w:val="00264841"/>
    <w:rsid w:val="002E1CEE"/>
    <w:rsid w:val="00334C8A"/>
    <w:rsid w:val="003C7D33"/>
    <w:rsid w:val="003D46E5"/>
    <w:rsid w:val="00405CFA"/>
    <w:rsid w:val="00414F10"/>
    <w:rsid w:val="00427CAC"/>
    <w:rsid w:val="00446FDE"/>
    <w:rsid w:val="0047503E"/>
    <w:rsid w:val="004925F7"/>
    <w:rsid w:val="00496E48"/>
    <w:rsid w:val="004E10C7"/>
    <w:rsid w:val="004E5C0E"/>
    <w:rsid w:val="004F04F0"/>
    <w:rsid w:val="00543EE3"/>
    <w:rsid w:val="0057103E"/>
    <w:rsid w:val="00595A8C"/>
    <w:rsid w:val="005E39C5"/>
    <w:rsid w:val="0064178C"/>
    <w:rsid w:val="00670C0E"/>
    <w:rsid w:val="006A01A9"/>
    <w:rsid w:val="006C3574"/>
    <w:rsid w:val="00753037"/>
    <w:rsid w:val="00771F37"/>
    <w:rsid w:val="0079228E"/>
    <w:rsid w:val="007B75E4"/>
    <w:rsid w:val="007C4469"/>
    <w:rsid w:val="00846ABB"/>
    <w:rsid w:val="008A44C9"/>
    <w:rsid w:val="008C1665"/>
    <w:rsid w:val="008D43E4"/>
    <w:rsid w:val="00903D93"/>
    <w:rsid w:val="00931B6A"/>
    <w:rsid w:val="00961E70"/>
    <w:rsid w:val="00970C83"/>
    <w:rsid w:val="009713DB"/>
    <w:rsid w:val="00973E9D"/>
    <w:rsid w:val="009D64EC"/>
    <w:rsid w:val="00A06403"/>
    <w:rsid w:val="00A14AB9"/>
    <w:rsid w:val="00A8086A"/>
    <w:rsid w:val="00AF3BA9"/>
    <w:rsid w:val="00AF5C5A"/>
    <w:rsid w:val="00B345DF"/>
    <w:rsid w:val="00BA7A26"/>
    <w:rsid w:val="00BB6D4B"/>
    <w:rsid w:val="00BE540D"/>
    <w:rsid w:val="00BE6145"/>
    <w:rsid w:val="00C13288"/>
    <w:rsid w:val="00C82594"/>
    <w:rsid w:val="00CB4E3A"/>
    <w:rsid w:val="00D12FDC"/>
    <w:rsid w:val="00E05B29"/>
    <w:rsid w:val="00E11EF1"/>
    <w:rsid w:val="00E2247A"/>
    <w:rsid w:val="00E92561"/>
    <w:rsid w:val="00EA17BE"/>
    <w:rsid w:val="00EB6E71"/>
    <w:rsid w:val="00EC01DF"/>
    <w:rsid w:val="00F23566"/>
    <w:rsid w:val="00F23E54"/>
    <w:rsid w:val="00F834BA"/>
    <w:rsid w:val="00F9049F"/>
    <w:rsid w:val="00FA7C25"/>
    <w:rsid w:val="00FB6C61"/>
    <w:rsid w:val="00F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69F13"/>
  <w15:chartTrackingRefBased/>
  <w15:docId w15:val="{8C48C8A5-ACC6-40E2-9674-031ED238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61"/>
  </w:style>
  <w:style w:type="paragraph" w:styleId="Footer">
    <w:name w:val="footer"/>
    <w:basedOn w:val="Normal"/>
    <w:link w:val="FooterChar"/>
    <w:uiPriority w:val="99"/>
    <w:unhideWhenUsed/>
    <w:rsid w:val="00E9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61"/>
  </w:style>
  <w:style w:type="paragraph" w:styleId="NormalWeb">
    <w:name w:val="Normal (Web)"/>
    <w:basedOn w:val="Normal"/>
    <w:uiPriority w:val="99"/>
    <w:semiHidden/>
    <w:unhideWhenUsed/>
    <w:rsid w:val="0044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7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3109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 Healthcare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 Kaitlyn</dc:creator>
  <cp:keywords/>
  <dc:description/>
  <cp:lastModifiedBy>Sherman Kaitlyn</cp:lastModifiedBy>
  <cp:revision>14</cp:revision>
  <cp:lastPrinted>2022-01-10T03:17:00Z</cp:lastPrinted>
  <dcterms:created xsi:type="dcterms:W3CDTF">2022-05-04T19:40:00Z</dcterms:created>
  <dcterms:modified xsi:type="dcterms:W3CDTF">2022-05-06T23:29:00Z</dcterms:modified>
</cp:coreProperties>
</file>