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F49E" w14:textId="77777777" w:rsidR="00C02755" w:rsidRDefault="00C02755" w:rsidP="00C02755">
      <w:pPr>
        <w:rPr>
          <w:rFonts w:cs="Calibri"/>
          <w:b/>
          <w:bCs/>
          <w:sz w:val="24"/>
          <w:szCs w:val="24"/>
          <w:u w:val="single"/>
        </w:rPr>
      </w:pPr>
      <w:r>
        <w:rPr>
          <w:rFonts w:cs="Calibri"/>
          <w:b/>
          <w:bCs/>
          <w:sz w:val="24"/>
          <w:szCs w:val="24"/>
          <w:u w:val="single"/>
        </w:rPr>
        <w:t>Abstract</w:t>
      </w:r>
    </w:p>
    <w:p w14:paraId="4EC1392C" w14:textId="77777777" w:rsidR="00C02755" w:rsidRDefault="00C02755" w:rsidP="00C02755">
      <w:pPr>
        <w:contextualSpacing/>
        <w:rPr>
          <w:rFonts w:cs="Calibri"/>
        </w:rPr>
      </w:pPr>
    </w:p>
    <w:p w14:paraId="65BB3CC7" w14:textId="77777777" w:rsidR="00C02755" w:rsidRDefault="00C02755" w:rsidP="00C02755">
      <w:pPr>
        <w:contextualSpacing/>
        <w:rPr>
          <w:rFonts w:cs="Calibri"/>
          <w:b/>
          <w:bCs/>
        </w:rPr>
      </w:pPr>
      <w:r>
        <w:rPr>
          <w:rFonts w:cs="Calibri"/>
          <w:b/>
          <w:bCs/>
        </w:rPr>
        <w:t>Background</w:t>
      </w:r>
    </w:p>
    <w:p w14:paraId="336AA122" w14:textId="55FAD120" w:rsidR="00C02755" w:rsidRPr="00C02755" w:rsidRDefault="00C02755" w:rsidP="00C02755">
      <w:pPr>
        <w:contextualSpacing/>
      </w:pPr>
      <w:bookmarkStart w:id="0" w:name="_Hlk80012417"/>
      <w:r>
        <w:t xml:space="preserve">Dementia and weight loss are independently associated with a higher risk of mortality and morbidity, and when present as comorbid conditions, further increase </w:t>
      </w:r>
      <w:r w:rsidR="00887FB9">
        <w:t xml:space="preserve">these </w:t>
      </w:r>
      <w:r>
        <w:t>risk</w:t>
      </w:r>
      <w:r w:rsidR="00887FB9">
        <w:t>s</w:t>
      </w:r>
      <w:r>
        <w:t xml:space="preserve"> in patients. Non-pharmacological interventions to combat weight loss should be utilized first-</w:t>
      </w:r>
      <w:proofErr w:type="gramStart"/>
      <w:r>
        <w:t>line, but</w:t>
      </w:r>
      <w:proofErr w:type="gramEnd"/>
      <w:r>
        <w:t xml:space="preserve"> are often insufficient. While there are multiple FDA-approved appetite stimulants, many are considered inappropriate in older patients or are associated with adverse effects. Mirtazapine is an alpha 2-antagonist commonly used for major depressive disorder, panic disorder, and chronic headaches. Currently, there have been no controlled studies assessing the effect of mirtazapine on weight gain in patients with dementia. </w:t>
      </w:r>
      <w:bookmarkEnd w:id="0"/>
    </w:p>
    <w:p w14:paraId="1CB46514" w14:textId="77777777" w:rsidR="00C02755" w:rsidRDefault="00C02755" w:rsidP="00C02755">
      <w:pPr>
        <w:contextualSpacing/>
        <w:rPr>
          <w:rFonts w:cs="Calibri"/>
          <w:b/>
          <w:bCs/>
        </w:rPr>
      </w:pPr>
    </w:p>
    <w:p w14:paraId="4F966DEE" w14:textId="77777777" w:rsidR="00C02755" w:rsidRDefault="00C02755" w:rsidP="00C02755">
      <w:pPr>
        <w:contextualSpacing/>
        <w:rPr>
          <w:rFonts w:cs="Calibri"/>
          <w:b/>
          <w:bCs/>
        </w:rPr>
      </w:pPr>
      <w:r>
        <w:rPr>
          <w:rFonts w:cs="Calibri"/>
          <w:b/>
          <w:bCs/>
        </w:rPr>
        <w:t>Objectives</w:t>
      </w:r>
    </w:p>
    <w:p w14:paraId="5904301B" w14:textId="0BC41D6C" w:rsidR="00C02755" w:rsidRDefault="00C02755" w:rsidP="00C02755">
      <w:pPr>
        <w:contextualSpacing/>
        <w:rPr>
          <w:rFonts w:cs="Calibri"/>
        </w:rPr>
      </w:pPr>
      <w:r>
        <w:rPr>
          <w:rFonts w:cs="Calibri"/>
        </w:rPr>
        <w:t>The primary objective of this study</w:t>
      </w:r>
      <w:r w:rsidR="003C7DB8">
        <w:rPr>
          <w:rFonts w:cs="Calibri"/>
        </w:rPr>
        <w:t xml:space="preserve"> was </w:t>
      </w:r>
      <w:r>
        <w:rPr>
          <w:rFonts w:cs="Calibri"/>
        </w:rPr>
        <w:t xml:space="preserve">to compare </w:t>
      </w:r>
      <w:r w:rsidR="00887FB9">
        <w:rPr>
          <w:rFonts w:cs="Calibri"/>
        </w:rPr>
        <w:t>weight change</w:t>
      </w:r>
      <w:r>
        <w:rPr>
          <w:rFonts w:cs="Calibri"/>
        </w:rPr>
        <w:t xml:space="preserve"> at 6 months for </w:t>
      </w:r>
      <w:r w:rsidR="00D96A20">
        <w:rPr>
          <w:rFonts w:cs="Calibri"/>
        </w:rPr>
        <w:t xml:space="preserve">Veterans </w:t>
      </w:r>
      <w:r>
        <w:rPr>
          <w:rFonts w:cs="Calibri"/>
        </w:rPr>
        <w:t xml:space="preserve">with a diagnosis of dementia who were initiated on mirtazapine </w:t>
      </w:r>
      <w:r w:rsidR="00887FB9">
        <w:rPr>
          <w:rFonts w:cs="Calibri"/>
        </w:rPr>
        <w:t xml:space="preserve">compared to sertraline (active control). </w:t>
      </w:r>
      <w:r>
        <w:rPr>
          <w:rFonts w:cs="Calibri"/>
        </w:rPr>
        <w:t xml:space="preserve">Secondary objectives </w:t>
      </w:r>
      <w:r w:rsidR="003C7DB8">
        <w:rPr>
          <w:rFonts w:cs="Calibri"/>
        </w:rPr>
        <w:t>we</w:t>
      </w:r>
      <w:r>
        <w:rPr>
          <w:rFonts w:cs="Calibri"/>
        </w:rPr>
        <w:t xml:space="preserve">re to </w:t>
      </w:r>
      <w:r w:rsidR="00C87298">
        <w:rPr>
          <w:rFonts w:cs="Calibri"/>
        </w:rPr>
        <w:t>assess</w:t>
      </w:r>
      <w:r>
        <w:rPr>
          <w:rFonts w:cs="Calibri"/>
        </w:rPr>
        <w:t xml:space="preserve"> weight changes at 3 and 12 months</w:t>
      </w:r>
      <w:r w:rsidR="00C87298">
        <w:rPr>
          <w:rFonts w:cs="Calibri"/>
        </w:rPr>
        <w:t>, weight changes at all three endpoints based on body mass index and depression diagnosis,</w:t>
      </w:r>
      <w:r w:rsidR="00D67505">
        <w:rPr>
          <w:rFonts w:cs="Calibri"/>
        </w:rPr>
        <w:t xml:space="preserve"> and adverse drug events associated with treatment</w:t>
      </w:r>
      <w:r>
        <w:rPr>
          <w:rFonts w:cs="Calibri"/>
        </w:rPr>
        <w:t>.</w:t>
      </w:r>
    </w:p>
    <w:p w14:paraId="10B66430" w14:textId="77777777" w:rsidR="00C02755" w:rsidRDefault="00C02755" w:rsidP="00C02755">
      <w:pPr>
        <w:contextualSpacing/>
        <w:rPr>
          <w:rFonts w:cs="Calibri"/>
        </w:rPr>
      </w:pPr>
    </w:p>
    <w:p w14:paraId="402E39E3" w14:textId="77777777" w:rsidR="00C02755" w:rsidRDefault="00C02755" w:rsidP="00C02755">
      <w:pPr>
        <w:contextualSpacing/>
        <w:rPr>
          <w:rFonts w:cs="Calibri"/>
          <w:b/>
          <w:bCs/>
        </w:rPr>
      </w:pPr>
      <w:r>
        <w:rPr>
          <w:rFonts w:cs="Calibri"/>
          <w:b/>
          <w:bCs/>
        </w:rPr>
        <w:t>Design and Methodology</w:t>
      </w:r>
    </w:p>
    <w:p w14:paraId="17C1A2C4" w14:textId="4A0DC2EB" w:rsidR="003C3BC1" w:rsidRDefault="00D67505" w:rsidP="00C02755">
      <w:pPr>
        <w:rPr>
          <w:rFonts w:cs="Calibri"/>
        </w:rPr>
      </w:pPr>
      <w:r>
        <w:rPr>
          <w:rFonts w:cs="Calibri"/>
        </w:rPr>
        <w:t>This was a</w:t>
      </w:r>
      <w:r w:rsidR="00C02755">
        <w:rPr>
          <w:rFonts w:cs="Calibri"/>
        </w:rPr>
        <w:t xml:space="preserve"> retrospective cohort study of </w:t>
      </w:r>
      <w:r w:rsidR="00D96A20">
        <w:rPr>
          <w:rFonts w:cs="Calibri"/>
        </w:rPr>
        <w:t xml:space="preserve">Veterans </w:t>
      </w:r>
      <w:r w:rsidR="00C02755">
        <w:rPr>
          <w:rFonts w:cs="Calibri"/>
        </w:rPr>
        <w:t xml:space="preserve">with a diagnosis of dementia who were initiated on mirtazapine or sertraline between </w:t>
      </w:r>
      <w:r w:rsidR="00C02755">
        <w:t xml:space="preserve">January 1, </w:t>
      </w:r>
      <w:proofErr w:type="gramStart"/>
      <w:r w:rsidR="00C02755">
        <w:t>2009</w:t>
      </w:r>
      <w:proofErr w:type="gramEnd"/>
      <w:r w:rsidR="00C02755">
        <w:t xml:space="preserve"> and January 1, 2019</w:t>
      </w:r>
      <w:r w:rsidR="00C02755">
        <w:rPr>
          <w:rFonts w:cs="Calibri"/>
        </w:rPr>
        <w:t xml:space="preserve">.  </w:t>
      </w:r>
      <w:r w:rsidR="00AA4815">
        <w:rPr>
          <w:rFonts w:cs="Calibri"/>
        </w:rPr>
        <w:t xml:space="preserve">Diagnosis of dementia </w:t>
      </w:r>
      <w:r w:rsidR="00AA4815">
        <w:t>was</w:t>
      </w:r>
      <w:r w:rsidR="00C02755">
        <w:t xml:space="preserve"> identified </w:t>
      </w:r>
      <w:r w:rsidR="00D96A20">
        <w:t>by</w:t>
      </w:r>
      <w:r w:rsidR="00AA4815">
        <w:t xml:space="preserve"> </w:t>
      </w:r>
      <w:r w:rsidR="00C02755">
        <w:t>ICD-9 and ICD-10 cod</w:t>
      </w:r>
      <w:r w:rsidR="00AA4815">
        <w:t>ing or</w:t>
      </w:r>
      <w:r w:rsidR="00DB3049" w:rsidRPr="00DB3049">
        <w:t xml:space="preserve"> </w:t>
      </w:r>
      <w:r w:rsidR="00DB3049" w:rsidRPr="00DB3049">
        <w:t>prescription of medications used to treat dementia</w:t>
      </w:r>
      <w:r w:rsidR="00DB3049">
        <w:t xml:space="preserve">. </w:t>
      </w:r>
      <w:r w:rsidR="00AA4815">
        <w:t xml:space="preserve">Patients were matched </w:t>
      </w:r>
      <w:r w:rsidR="00837A25">
        <w:t>by</w:t>
      </w:r>
      <w:r w:rsidR="00AA4815">
        <w:t xml:space="preserve"> </w:t>
      </w:r>
      <w:r w:rsidR="00C87298">
        <w:t xml:space="preserve">BMI </w:t>
      </w:r>
      <w:r w:rsidR="00AA4815">
        <w:t xml:space="preserve">categorization. </w:t>
      </w:r>
      <w:r w:rsidR="00AA4815" w:rsidRPr="00AA4815">
        <w:rPr>
          <w:rFonts w:cs="Calibri"/>
        </w:rPr>
        <w:t>Descriptive statistics</w:t>
      </w:r>
      <w:r w:rsidR="00C87298">
        <w:rPr>
          <w:rFonts w:cs="Calibri"/>
        </w:rPr>
        <w:t>, chi square,</w:t>
      </w:r>
      <w:r w:rsidR="00AA4815" w:rsidRPr="00AA4815">
        <w:rPr>
          <w:rFonts w:cs="Calibri"/>
        </w:rPr>
        <w:t xml:space="preserve"> and student t-test were used to assess endpoints</w:t>
      </w:r>
      <w:r w:rsidR="00837A25">
        <w:rPr>
          <w:rFonts w:cs="Calibri"/>
        </w:rPr>
        <w:t>.</w:t>
      </w:r>
    </w:p>
    <w:p w14:paraId="268C7725" w14:textId="32A9C789" w:rsidR="00C91337" w:rsidRDefault="009C2B3D" w:rsidP="00C02755">
      <w:pPr>
        <w:contextualSpacing/>
        <w:rPr>
          <w:rFonts w:cs="Calibri"/>
          <w:b/>
          <w:bCs/>
        </w:rPr>
      </w:pPr>
      <w:r>
        <w:rPr>
          <w:rFonts w:cs="Calibri"/>
          <w:b/>
          <w:bCs/>
        </w:rPr>
        <w:t>Results</w:t>
      </w:r>
    </w:p>
    <w:p w14:paraId="17ECB031" w14:textId="398D961C" w:rsidR="009C2B3D" w:rsidRDefault="00C91337" w:rsidP="00614B48">
      <w:pPr>
        <w:contextualSpacing/>
        <w:rPr>
          <w:rFonts w:cs="Calibri"/>
        </w:rPr>
      </w:pPr>
      <w:r w:rsidRPr="00C91337">
        <w:rPr>
          <w:rFonts w:cs="Calibri"/>
        </w:rPr>
        <w:t xml:space="preserve">Mirtazapine was effective in increasing weight in </w:t>
      </w:r>
      <w:proofErr w:type="gramStart"/>
      <w:r w:rsidR="00D67505">
        <w:rPr>
          <w:rFonts w:cs="Calibri"/>
        </w:rPr>
        <w:t xml:space="preserve">the majority </w:t>
      </w:r>
      <w:r w:rsidRPr="00C91337">
        <w:rPr>
          <w:rFonts w:cs="Calibri"/>
        </w:rPr>
        <w:t>of</w:t>
      </w:r>
      <w:proofErr w:type="gramEnd"/>
      <w:r w:rsidRPr="00C91337">
        <w:rPr>
          <w:rFonts w:cs="Calibri"/>
        </w:rPr>
        <w:t xml:space="preserve"> patients</w:t>
      </w:r>
      <w:r w:rsidR="00A81F6F">
        <w:rPr>
          <w:rFonts w:cs="Calibri"/>
        </w:rPr>
        <w:t xml:space="preserve"> </w:t>
      </w:r>
      <w:r w:rsidRPr="00C91337">
        <w:rPr>
          <w:rFonts w:cs="Calibri"/>
        </w:rPr>
        <w:t>at 3, 6, and 12 months.</w:t>
      </w:r>
      <w:r w:rsidR="00C87298">
        <w:rPr>
          <w:rFonts w:cs="Calibri"/>
        </w:rPr>
        <w:t xml:space="preserve"> At 6 months</w:t>
      </w:r>
      <w:r w:rsidR="00B94E56">
        <w:rPr>
          <w:rFonts w:cs="Calibri"/>
        </w:rPr>
        <w:t>, weight increased in 54.8% of patients using mirtazapine and 43.1% of patients on sertraline (p=0.0347)</w:t>
      </w:r>
      <w:r w:rsidR="00C87298">
        <w:rPr>
          <w:rFonts w:cs="Calibri"/>
        </w:rPr>
        <w:t xml:space="preserve">. </w:t>
      </w:r>
      <w:r w:rsidR="00B94E56">
        <w:rPr>
          <w:rFonts w:cs="Calibri"/>
        </w:rPr>
        <w:t>Additionally, 13.2% and 4.9% of patients on mirtazapine and sertraline</w:t>
      </w:r>
      <w:r w:rsidR="009341EE">
        <w:rPr>
          <w:rFonts w:cs="Calibri"/>
        </w:rPr>
        <w:t>, respectively,</w:t>
      </w:r>
      <w:r w:rsidR="00B94E56">
        <w:rPr>
          <w:rFonts w:cs="Calibri"/>
        </w:rPr>
        <w:t xml:space="preserve"> had a greater than 5% weight increase at 3 months (p=0.0201). </w:t>
      </w:r>
      <w:r w:rsidR="003777F8">
        <w:rPr>
          <w:rFonts w:cs="Calibri"/>
        </w:rPr>
        <w:t xml:space="preserve">Patients with BMI 25-29.99 demonstrated greater rates of weight gain with mirtazapine compared to sertraline (p=0.0186). </w:t>
      </w:r>
      <w:r w:rsidR="009C2B3D">
        <w:rPr>
          <w:rFonts w:cs="Calibri"/>
        </w:rPr>
        <w:t>Overall,</w:t>
      </w:r>
      <w:r>
        <w:rPr>
          <w:rFonts w:cs="Calibri"/>
        </w:rPr>
        <w:t xml:space="preserve"> 12 </w:t>
      </w:r>
      <w:r w:rsidR="00D67505">
        <w:rPr>
          <w:rFonts w:cs="Calibri"/>
        </w:rPr>
        <w:t xml:space="preserve">(2.9%) </w:t>
      </w:r>
      <w:r>
        <w:rPr>
          <w:rFonts w:cs="Calibri"/>
        </w:rPr>
        <w:t>patients experienced an adverse drug event (mirtazapine n=</w:t>
      </w:r>
      <w:r w:rsidR="00642210">
        <w:rPr>
          <w:rFonts w:cs="Calibri"/>
        </w:rPr>
        <w:t>6</w:t>
      </w:r>
      <w:r>
        <w:rPr>
          <w:rFonts w:cs="Calibri"/>
        </w:rPr>
        <w:t>, sertraline n=</w:t>
      </w:r>
      <w:r w:rsidR="00642210">
        <w:rPr>
          <w:rFonts w:cs="Calibri"/>
        </w:rPr>
        <w:t>6</w:t>
      </w:r>
      <w:r>
        <w:rPr>
          <w:rFonts w:cs="Calibri"/>
        </w:rPr>
        <w:t>)</w:t>
      </w:r>
      <w:r w:rsidR="00B94E56">
        <w:rPr>
          <w:rFonts w:cs="Calibri"/>
        </w:rPr>
        <w:t xml:space="preserve"> and no patients reported a severe event</w:t>
      </w:r>
      <w:r w:rsidR="00D67505">
        <w:rPr>
          <w:rFonts w:cs="Calibri"/>
        </w:rPr>
        <w:t>.</w:t>
      </w:r>
      <w:r>
        <w:rPr>
          <w:rFonts w:cs="Calibri"/>
        </w:rPr>
        <w:t xml:space="preserve"> </w:t>
      </w:r>
    </w:p>
    <w:p w14:paraId="5B952283" w14:textId="0359DCED" w:rsidR="009C2B3D" w:rsidRDefault="009C2B3D" w:rsidP="00C91337">
      <w:pPr>
        <w:contextualSpacing/>
        <w:rPr>
          <w:rFonts w:cs="Calibri"/>
        </w:rPr>
      </w:pPr>
    </w:p>
    <w:p w14:paraId="297D21B4" w14:textId="25DDA7D5" w:rsidR="009C2B3D" w:rsidRDefault="009C2B3D" w:rsidP="00C91337">
      <w:pPr>
        <w:contextualSpacing/>
        <w:rPr>
          <w:rFonts w:cs="Calibri"/>
        </w:rPr>
      </w:pPr>
      <w:r w:rsidRPr="00EE00B4">
        <w:rPr>
          <w:rFonts w:cs="Calibri"/>
          <w:b/>
          <w:bCs/>
        </w:rPr>
        <w:t>Conclusions</w:t>
      </w:r>
    </w:p>
    <w:p w14:paraId="327FF0B6" w14:textId="09F7A2EE" w:rsidR="009C2B3D" w:rsidRPr="00C91337" w:rsidRDefault="00C87298" w:rsidP="00FF3D94">
      <w:pPr>
        <w:rPr>
          <w:rFonts w:cs="Calibri"/>
        </w:rPr>
      </w:pPr>
      <w:r w:rsidRPr="00C87298">
        <w:rPr>
          <w:rFonts w:cs="Calibri"/>
        </w:rPr>
        <w:t>Mirtazapine was effective at increas</w:t>
      </w:r>
      <w:r w:rsidR="009725DF">
        <w:rPr>
          <w:rFonts w:cs="Calibri"/>
        </w:rPr>
        <w:t>ing</w:t>
      </w:r>
      <w:r w:rsidRPr="00C87298">
        <w:rPr>
          <w:rFonts w:cs="Calibri"/>
        </w:rPr>
        <w:t xml:space="preserve"> weight </w:t>
      </w:r>
      <w:r w:rsidR="009725DF">
        <w:rPr>
          <w:rFonts w:cs="Calibri"/>
        </w:rPr>
        <w:t xml:space="preserve">in </w:t>
      </w:r>
      <w:proofErr w:type="gramStart"/>
      <w:r w:rsidR="009725DF">
        <w:rPr>
          <w:rFonts w:cs="Calibri"/>
        </w:rPr>
        <w:t>the majority of</w:t>
      </w:r>
      <w:proofErr w:type="gramEnd"/>
      <w:r w:rsidR="009725DF">
        <w:rPr>
          <w:rFonts w:cs="Calibri"/>
        </w:rPr>
        <w:t xml:space="preserve"> patients </w:t>
      </w:r>
      <w:r w:rsidRPr="00C87298">
        <w:rPr>
          <w:rFonts w:cs="Calibri"/>
        </w:rPr>
        <w:t xml:space="preserve">at </w:t>
      </w:r>
      <w:r w:rsidR="00A616FC">
        <w:rPr>
          <w:rFonts w:cs="Calibri"/>
        </w:rPr>
        <w:t xml:space="preserve">each time </w:t>
      </w:r>
      <w:r w:rsidR="00DB3049" w:rsidRPr="00DB3049">
        <w:rPr>
          <w:rFonts w:cs="Calibri"/>
        </w:rPr>
        <w:t>point, which was largely driven by weight increase at 6 months in overweight patients</w:t>
      </w:r>
      <w:r w:rsidR="0089507B">
        <w:rPr>
          <w:rFonts w:cs="Calibri"/>
        </w:rPr>
        <w:t>.</w:t>
      </w:r>
      <w:r w:rsidR="009725DF">
        <w:rPr>
          <w:rFonts w:cs="Calibri"/>
        </w:rPr>
        <w:t xml:space="preserve"> </w:t>
      </w:r>
      <w:r w:rsidR="00837A25">
        <w:rPr>
          <w:rFonts w:cs="Calibri"/>
        </w:rPr>
        <w:t>There was a</w:t>
      </w:r>
      <w:r w:rsidR="00D67505">
        <w:rPr>
          <w:rFonts w:cs="Calibri"/>
        </w:rPr>
        <w:t xml:space="preserve"> </w:t>
      </w:r>
      <w:r w:rsidR="00EE00B4">
        <w:rPr>
          <w:rFonts w:cs="Calibri"/>
        </w:rPr>
        <w:t xml:space="preserve">similar frequency and severity of the </w:t>
      </w:r>
      <w:r w:rsidR="00EE00B4" w:rsidRPr="00EE00B4">
        <w:rPr>
          <w:rFonts w:cs="Calibri"/>
        </w:rPr>
        <w:t>adverse drug events</w:t>
      </w:r>
      <w:r w:rsidR="00EE00B4">
        <w:rPr>
          <w:rFonts w:cs="Calibri"/>
        </w:rPr>
        <w:t>.</w:t>
      </w:r>
      <w:r w:rsidR="00EE00B4" w:rsidRPr="00EE00B4">
        <w:rPr>
          <w:rFonts w:cs="Calibri"/>
        </w:rPr>
        <w:t xml:space="preserve"> </w:t>
      </w:r>
      <w:r w:rsidR="009725DF">
        <w:rPr>
          <w:rFonts w:cs="Calibri"/>
        </w:rPr>
        <w:t xml:space="preserve">Overall, mirtazapine should be considered a </w:t>
      </w:r>
      <w:r w:rsidR="00A616FC">
        <w:rPr>
          <w:rFonts w:cs="Calibri"/>
        </w:rPr>
        <w:t xml:space="preserve">safe and </w:t>
      </w:r>
      <w:r w:rsidR="009725DF">
        <w:rPr>
          <w:rFonts w:cs="Calibri"/>
        </w:rPr>
        <w:t>eff</w:t>
      </w:r>
      <w:r w:rsidR="00A616FC">
        <w:rPr>
          <w:rFonts w:cs="Calibri"/>
        </w:rPr>
        <w:t>ective</w:t>
      </w:r>
      <w:r w:rsidR="009725DF">
        <w:rPr>
          <w:rFonts w:cs="Calibri"/>
        </w:rPr>
        <w:t xml:space="preserve"> treatment option </w:t>
      </w:r>
      <w:r w:rsidR="00A616FC">
        <w:rPr>
          <w:rFonts w:cs="Calibri"/>
        </w:rPr>
        <w:t>to increase weight in</w:t>
      </w:r>
      <w:r w:rsidR="009725DF">
        <w:rPr>
          <w:rFonts w:cs="Calibri"/>
        </w:rPr>
        <w:t xml:space="preserve"> patients with dementia. </w:t>
      </w:r>
    </w:p>
    <w:sectPr w:rsidR="009C2B3D" w:rsidRPr="00C9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25C3"/>
    <w:multiLevelType w:val="hybridMultilevel"/>
    <w:tmpl w:val="A4E6B094"/>
    <w:lvl w:ilvl="0" w:tplc="CBC03FEA">
      <w:start w:val="1"/>
      <w:numFmt w:val="bullet"/>
      <w:lvlText w:val="•"/>
      <w:lvlJc w:val="left"/>
      <w:pPr>
        <w:tabs>
          <w:tab w:val="num" w:pos="720"/>
        </w:tabs>
        <w:ind w:left="720" w:hanging="360"/>
      </w:pPr>
      <w:rPr>
        <w:rFonts w:ascii="Arial" w:hAnsi="Arial" w:hint="default"/>
      </w:rPr>
    </w:lvl>
    <w:lvl w:ilvl="1" w:tplc="44AE52B0" w:tentative="1">
      <w:start w:val="1"/>
      <w:numFmt w:val="bullet"/>
      <w:lvlText w:val="•"/>
      <w:lvlJc w:val="left"/>
      <w:pPr>
        <w:tabs>
          <w:tab w:val="num" w:pos="1440"/>
        </w:tabs>
        <w:ind w:left="1440" w:hanging="360"/>
      </w:pPr>
      <w:rPr>
        <w:rFonts w:ascii="Arial" w:hAnsi="Arial" w:hint="default"/>
      </w:rPr>
    </w:lvl>
    <w:lvl w:ilvl="2" w:tplc="831C5744" w:tentative="1">
      <w:start w:val="1"/>
      <w:numFmt w:val="bullet"/>
      <w:lvlText w:val="•"/>
      <w:lvlJc w:val="left"/>
      <w:pPr>
        <w:tabs>
          <w:tab w:val="num" w:pos="2160"/>
        </w:tabs>
        <w:ind w:left="2160" w:hanging="360"/>
      </w:pPr>
      <w:rPr>
        <w:rFonts w:ascii="Arial" w:hAnsi="Arial" w:hint="default"/>
      </w:rPr>
    </w:lvl>
    <w:lvl w:ilvl="3" w:tplc="62E0C4BC" w:tentative="1">
      <w:start w:val="1"/>
      <w:numFmt w:val="bullet"/>
      <w:lvlText w:val="•"/>
      <w:lvlJc w:val="left"/>
      <w:pPr>
        <w:tabs>
          <w:tab w:val="num" w:pos="2880"/>
        </w:tabs>
        <w:ind w:left="2880" w:hanging="360"/>
      </w:pPr>
      <w:rPr>
        <w:rFonts w:ascii="Arial" w:hAnsi="Arial" w:hint="default"/>
      </w:rPr>
    </w:lvl>
    <w:lvl w:ilvl="4" w:tplc="F74CADE4" w:tentative="1">
      <w:start w:val="1"/>
      <w:numFmt w:val="bullet"/>
      <w:lvlText w:val="•"/>
      <w:lvlJc w:val="left"/>
      <w:pPr>
        <w:tabs>
          <w:tab w:val="num" w:pos="3600"/>
        </w:tabs>
        <w:ind w:left="3600" w:hanging="360"/>
      </w:pPr>
      <w:rPr>
        <w:rFonts w:ascii="Arial" w:hAnsi="Arial" w:hint="default"/>
      </w:rPr>
    </w:lvl>
    <w:lvl w:ilvl="5" w:tplc="96E20800" w:tentative="1">
      <w:start w:val="1"/>
      <w:numFmt w:val="bullet"/>
      <w:lvlText w:val="•"/>
      <w:lvlJc w:val="left"/>
      <w:pPr>
        <w:tabs>
          <w:tab w:val="num" w:pos="4320"/>
        </w:tabs>
        <w:ind w:left="4320" w:hanging="360"/>
      </w:pPr>
      <w:rPr>
        <w:rFonts w:ascii="Arial" w:hAnsi="Arial" w:hint="default"/>
      </w:rPr>
    </w:lvl>
    <w:lvl w:ilvl="6" w:tplc="5D0E65FE" w:tentative="1">
      <w:start w:val="1"/>
      <w:numFmt w:val="bullet"/>
      <w:lvlText w:val="•"/>
      <w:lvlJc w:val="left"/>
      <w:pPr>
        <w:tabs>
          <w:tab w:val="num" w:pos="5040"/>
        </w:tabs>
        <w:ind w:left="5040" w:hanging="360"/>
      </w:pPr>
      <w:rPr>
        <w:rFonts w:ascii="Arial" w:hAnsi="Arial" w:hint="default"/>
      </w:rPr>
    </w:lvl>
    <w:lvl w:ilvl="7" w:tplc="5A82C89E" w:tentative="1">
      <w:start w:val="1"/>
      <w:numFmt w:val="bullet"/>
      <w:lvlText w:val="•"/>
      <w:lvlJc w:val="left"/>
      <w:pPr>
        <w:tabs>
          <w:tab w:val="num" w:pos="5760"/>
        </w:tabs>
        <w:ind w:left="5760" w:hanging="360"/>
      </w:pPr>
      <w:rPr>
        <w:rFonts w:ascii="Arial" w:hAnsi="Arial" w:hint="default"/>
      </w:rPr>
    </w:lvl>
    <w:lvl w:ilvl="8" w:tplc="F92CB5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F33378"/>
    <w:multiLevelType w:val="hybridMultilevel"/>
    <w:tmpl w:val="70562F3C"/>
    <w:lvl w:ilvl="0" w:tplc="EE82ADF0">
      <w:start w:val="1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55"/>
    <w:rsid w:val="00032806"/>
    <w:rsid w:val="000B1C59"/>
    <w:rsid w:val="000E3481"/>
    <w:rsid w:val="001930C2"/>
    <w:rsid w:val="001B73A5"/>
    <w:rsid w:val="00240C94"/>
    <w:rsid w:val="002F5F8C"/>
    <w:rsid w:val="002F706A"/>
    <w:rsid w:val="00324D96"/>
    <w:rsid w:val="003777F8"/>
    <w:rsid w:val="003C7DB8"/>
    <w:rsid w:val="00556A27"/>
    <w:rsid w:val="005C0168"/>
    <w:rsid w:val="00614B48"/>
    <w:rsid w:val="00642210"/>
    <w:rsid w:val="007B7CCE"/>
    <w:rsid w:val="007C4178"/>
    <w:rsid w:val="0083122D"/>
    <w:rsid w:val="00837A25"/>
    <w:rsid w:val="00887FB9"/>
    <w:rsid w:val="0089507B"/>
    <w:rsid w:val="0092589E"/>
    <w:rsid w:val="009341EE"/>
    <w:rsid w:val="009725DF"/>
    <w:rsid w:val="009C2B3D"/>
    <w:rsid w:val="00A54B1F"/>
    <w:rsid w:val="00A616FC"/>
    <w:rsid w:val="00A81F6F"/>
    <w:rsid w:val="00AA4815"/>
    <w:rsid w:val="00B71A85"/>
    <w:rsid w:val="00B94E56"/>
    <w:rsid w:val="00C02755"/>
    <w:rsid w:val="00C87298"/>
    <w:rsid w:val="00C91337"/>
    <w:rsid w:val="00D67505"/>
    <w:rsid w:val="00D96A20"/>
    <w:rsid w:val="00DB3049"/>
    <w:rsid w:val="00E01CA5"/>
    <w:rsid w:val="00EE00B4"/>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004B"/>
  <w15:chartTrackingRefBased/>
  <w15:docId w15:val="{C6977BF7-3CCE-4696-AE1C-20B1C4F0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75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7FB9"/>
    <w:rPr>
      <w:sz w:val="16"/>
      <w:szCs w:val="16"/>
    </w:rPr>
  </w:style>
  <w:style w:type="paragraph" w:styleId="CommentText">
    <w:name w:val="annotation text"/>
    <w:basedOn w:val="Normal"/>
    <w:link w:val="CommentTextChar"/>
    <w:uiPriority w:val="99"/>
    <w:semiHidden/>
    <w:unhideWhenUsed/>
    <w:rsid w:val="00887FB9"/>
    <w:pPr>
      <w:spacing w:line="240" w:lineRule="auto"/>
    </w:pPr>
    <w:rPr>
      <w:sz w:val="20"/>
      <w:szCs w:val="20"/>
    </w:rPr>
  </w:style>
  <w:style w:type="character" w:customStyle="1" w:styleId="CommentTextChar">
    <w:name w:val="Comment Text Char"/>
    <w:basedOn w:val="DefaultParagraphFont"/>
    <w:link w:val="CommentText"/>
    <w:uiPriority w:val="99"/>
    <w:semiHidden/>
    <w:rsid w:val="00887F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7FB9"/>
    <w:rPr>
      <w:b/>
      <w:bCs/>
    </w:rPr>
  </w:style>
  <w:style w:type="character" w:customStyle="1" w:styleId="CommentSubjectChar">
    <w:name w:val="Comment Subject Char"/>
    <w:basedOn w:val="CommentTextChar"/>
    <w:link w:val="CommentSubject"/>
    <w:uiPriority w:val="99"/>
    <w:semiHidden/>
    <w:rsid w:val="00887FB9"/>
    <w:rPr>
      <w:rFonts w:ascii="Calibri" w:eastAsia="Calibri" w:hAnsi="Calibri" w:cs="Times New Roman"/>
      <w:b/>
      <w:bCs/>
      <w:sz w:val="20"/>
      <w:szCs w:val="20"/>
    </w:rPr>
  </w:style>
  <w:style w:type="paragraph" w:styleId="ListParagraph">
    <w:name w:val="List Paragraph"/>
    <w:basedOn w:val="Normal"/>
    <w:uiPriority w:val="34"/>
    <w:qFormat/>
    <w:rsid w:val="009C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9950">
      <w:bodyDiv w:val="1"/>
      <w:marLeft w:val="0"/>
      <w:marRight w:val="0"/>
      <w:marTop w:val="0"/>
      <w:marBottom w:val="0"/>
      <w:divBdr>
        <w:top w:val="none" w:sz="0" w:space="0" w:color="auto"/>
        <w:left w:val="none" w:sz="0" w:space="0" w:color="auto"/>
        <w:bottom w:val="none" w:sz="0" w:space="0" w:color="auto"/>
        <w:right w:val="none" w:sz="0" w:space="0" w:color="auto"/>
      </w:divBdr>
      <w:divsChild>
        <w:div w:id="1188367832">
          <w:marLeft w:val="1080"/>
          <w:marRight w:val="0"/>
          <w:marTop w:val="0"/>
          <w:marBottom w:val="0"/>
          <w:divBdr>
            <w:top w:val="none" w:sz="0" w:space="0" w:color="auto"/>
            <w:left w:val="none" w:sz="0" w:space="0" w:color="auto"/>
            <w:bottom w:val="none" w:sz="0" w:space="0" w:color="auto"/>
            <w:right w:val="none" w:sz="0" w:space="0" w:color="auto"/>
          </w:divBdr>
        </w:div>
        <w:div w:id="1694040085">
          <w:marLeft w:val="1080"/>
          <w:marRight w:val="0"/>
          <w:marTop w:val="0"/>
          <w:marBottom w:val="0"/>
          <w:divBdr>
            <w:top w:val="none" w:sz="0" w:space="0" w:color="auto"/>
            <w:left w:val="none" w:sz="0" w:space="0" w:color="auto"/>
            <w:bottom w:val="none" w:sz="0" w:space="0" w:color="auto"/>
            <w:right w:val="none" w:sz="0" w:space="0" w:color="auto"/>
          </w:divBdr>
        </w:div>
      </w:divsChild>
    </w:div>
    <w:div w:id="12892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Adriana E. DVAHCS</dc:creator>
  <cp:keywords/>
  <dc:description/>
  <cp:lastModifiedBy>Rhodes, Adriana E. DVAHCS</cp:lastModifiedBy>
  <cp:revision>2</cp:revision>
  <dcterms:created xsi:type="dcterms:W3CDTF">2022-05-05T17:07:00Z</dcterms:created>
  <dcterms:modified xsi:type="dcterms:W3CDTF">2022-05-05T17:07:00Z</dcterms:modified>
</cp:coreProperties>
</file>