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BE0B2" w14:textId="44596BF6" w:rsidR="00390CF6" w:rsidRPr="00CF64D1" w:rsidRDefault="002600C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Title</w:t>
      </w:r>
      <w:r w:rsidR="00CF64D1">
        <w:rPr>
          <w:b/>
          <w:sz w:val="24"/>
          <w:szCs w:val="24"/>
        </w:rPr>
        <w:t xml:space="preserve">: </w:t>
      </w:r>
      <w:r w:rsidR="00CF64D1">
        <w:rPr>
          <w:sz w:val="24"/>
          <w:szCs w:val="24"/>
        </w:rPr>
        <w:t>Impact of</w:t>
      </w:r>
      <w:r w:rsidR="00CB7ADE">
        <w:rPr>
          <w:sz w:val="24"/>
          <w:szCs w:val="24"/>
        </w:rPr>
        <w:t xml:space="preserve"> a medication reconciliation completed by an</w:t>
      </w:r>
      <w:r w:rsidR="00A75961">
        <w:rPr>
          <w:sz w:val="24"/>
          <w:szCs w:val="24"/>
        </w:rPr>
        <w:t xml:space="preserve"> embedded</w:t>
      </w:r>
      <w:r w:rsidR="00CF64D1">
        <w:rPr>
          <w:sz w:val="24"/>
          <w:szCs w:val="24"/>
        </w:rPr>
        <w:t xml:space="preserve"> </w:t>
      </w:r>
      <w:r w:rsidR="00CB7ADE">
        <w:rPr>
          <w:sz w:val="24"/>
          <w:szCs w:val="24"/>
        </w:rPr>
        <w:t>pharmacist within a primary care clinic on admission rates in patients with chronic disease states</w:t>
      </w:r>
    </w:p>
    <w:p w14:paraId="2C281449" w14:textId="77777777" w:rsidR="008D4D7C" w:rsidRDefault="008D4D7C">
      <w:pPr>
        <w:rPr>
          <w:b/>
          <w:sz w:val="24"/>
          <w:szCs w:val="24"/>
          <w:u w:val="single"/>
        </w:rPr>
      </w:pPr>
    </w:p>
    <w:p w14:paraId="189F05AB" w14:textId="0BCE66C4" w:rsidR="008D4D7C" w:rsidRDefault="002600C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Purpose</w:t>
      </w:r>
      <w:r w:rsidR="008D4D7C">
        <w:rPr>
          <w:b/>
          <w:sz w:val="24"/>
          <w:szCs w:val="24"/>
          <w:u w:val="single"/>
        </w:rPr>
        <w:t xml:space="preserve">: </w:t>
      </w:r>
    </w:p>
    <w:p w14:paraId="27A94019" w14:textId="7E037300" w:rsidR="00164076" w:rsidRPr="00164076" w:rsidRDefault="00A75961">
      <w:pPr>
        <w:rPr>
          <w:sz w:val="24"/>
          <w:szCs w:val="24"/>
        </w:rPr>
      </w:pPr>
      <w:r>
        <w:rPr>
          <w:sz w:val="24"/>
          <w:szCs w:val="24"/>
        </w:rPr>
        <w:t xml:space="preserve">Several studies have shown the positive impact a pharmacist has through the transitions of care process, but there is little data surrounding the impact an ambulatory care pharmacist embedded in a primary care clinic has during this process. </w:t>
      </w:r>
      <w:r w:rsidR="00821F17">
        <w:rPr>
          <w:sz w:val="24"/>
          <w:szCs w:val="24"/>
        </w:rPr>
        <w:t>The purpose of this study was to observe the impact on hospital read</w:t>
      </w:r>
      <w:r w:rsidR="00141171">
        <w:rPr>
          <w:sz w:val="24"/>
          <w:szCs w:val="24"/>
        </w:rPr>
        <w:t>mission rates and ED visits after</w:t>
      </w:r>
      <w:r w:rsidR="00821F17">
        <w:rPr>
          <w:sz w:val="24"/>
          <w:szCs w:val="24"/>
        </w:rPr>
        <w:t xml:space="preserve"> a pharmacist embedded in a primary care clinic completes a medication reconciliation within 24 to 48 hours after discharge in a patient with a chronic</w:t>
      </w:r>
      <w:r w:rsidR="00A81E15">
        <w:rPr>
          <w:sz w:val="24"/>
          <w:szCs w:val="24"/>
        </w:rPr>
        <w:t xml:space="preserve"> disease state (chronic heart failure [CHF], type 2 diabetes mellitus [T2DM], and/or chronic obstructive pulmonary disease [COPD]). </w:t>
      </w:r>
    </w:p>
    <w:p w14:paraId="655095F9" w14:textId="3A2DBAE3" w:rsidR="005616D7" w:rsidRDefault="005616D7">
      <w:pPr>
        <w:rPr>
          <w:sz w:val="24"/>
          <w:szCs w:val="24"/>
        </w:rPr>
      </w:pPr>
    </w:p>
    <w:p w14:paraId="69B99C63" w14:textId="7186450F" w:rsidR="005616D7" w:rsidRPr="008D2D42" w:rsidRDefault="005616D7">
      <w:pPr>
        <w:rPr>
          <w:b/>
          <w:sz w:val="24"/>
          <w:szCs w:val="24"/>
          <w:u w:val="single"/>
        </w:rPr>
      </w:pPr>
      <w:r w:rsidRPr="008D2D42">
        <w:rPr>
          <w:b/>
          <w:sz w:val="24"/>
          <w:szCs w:val="24"/>
          <w:u w:val="single"/>
        </w:rPr>
        <w:t xml:space="preserve">Methodology: </w:t>
      </w:r>
    </w:p>
    <w:p w14:paraId="5D547A42" w14:textId="3CE6A80B" w:rsidR="000B4F11" w:rsidRDefault="000B4F11" w:rsidP="000B4F11">
      <w:pPr>
        <w:rPr>
          <w:sz w:val="24"/>
          <w:szCs w:val="24"/>
        </w:rPr>
      </w:pPr>
      <w:r>
        <w:rPr>
          <w:sz w:val="24"/>
          <w:szCs w:val="24"/>
        </w:rPr>
        <w:t>This study is a retrospective chart review comparing patients in which medication reconciliations were completed versus were</w:t>
      </w:r>
      <w:r w:rsidR="00B32C87">
        <w:rPr>
          <w:sz w:val="24"/>
          <w:szCs w:val="24"/>
        </w:rPr>
        <w:t xml:space="preserve"> not</w:t>
      </w:r>
      <w:r>
        <w:rPr>
          <w:sz w:val="24"/>
          <w:szCs w:val="24"/>
        </w:rPr>
        <w:t xml:space="preserve"> completed by an embedded pharmacist within 24 to 48 hours for patients discharged from Novant Health Forsyth Medical Center (FMC). </w:t>
      </w:r>
      <w:r w:rsidRPr="000B4F11">
        <w:rPr>
          <w:bCs/>
          <w:sz w:val="24"/>
          <w:szCs w:val="24"/>
        </w:rPr>
        <w:t xml:space="preserve">Patients were identified from a data collection sheet the pharmacist at Maplewood Family Medicine Clinic </w:t>
      </w:r>
      <w:r w:rsidR="00B32C87">
        <w:rPr>
          <w:bCs/>
          <w:sz w:val="24"/>
          <w:szCs w:val="24"/>
        </w:rPr>
        <w:t>compil</w:t>
      </w:r>
      <w:r w:rsidRPr="000B4F11">
        <w:rPr>
          <w:bCs/>
          <w:sz w:val="24"/>
          <w:szCs w:val="24"/>
        </w:rPr>
        <w:t>ed.</w:t>
      </w:r>
      <w:r>
        <w:rPr>
          <w:sz w:val="24"/>
          <w:szCs w:val="24"/>
        </w:rPr>
        <w:t xml:space="preserve"> All patients had a primary care provider at Maplewood Family Medicine and one of the three chronic medical conditions type 2 diabetes (T2DM), chronic heart failure (CHF), or chronic obstructive pulmonary disease (COPD). The primary endpoint was to identify the percentage of patients who were readmitted to the hospital within 30-days of discharge. The secondary endpoints were to identify the percentage of patients who presented to the ED within 30-days</w:t>
      </w:r>
      <w:r>
        <w:rPr>
          <w:color w:val="FF0000"/>
          <w:sz w:val="24"/>
          <w:szCs w:val="24"/>
        </w:rPr>
        <w:t xml:space="preserve"> </w:t>
      </w:r>
      <w:r w:rsidRPr="000B4F11">
        <w:rPr>
          <w:sz w:val="24"/>
          <w:szCs w:val="24"/>
        </w:rPr>
        <w:t>of discharge</w:t>
      </w:r>
      <w:r>
        <w:rPr>
          <w:sz w:val="24"/>
          <w:szCs w:val="24"/>
        </w:rPr>
        <w:t xml:space="preserve">, number and type of interventions a pharmacist recommended, if a medication reconciliation was completed by a non-pharmacist, and percentage of how often the TCM billing code was utilized. Analysis of the primary and secondary endpoints </w:t>
      </w:r>
      <w:r w:rsidR="005C6DD9" w:rsidRPr="005C6DD9">
        <w:rPr>
          <w:sz w:val="24"/>
          <w:szCs w:val="24"/>
        </w:rPr>
        <w:t xml:space="preserve">were </w:t>
      </w:r>
      <w:r w:rsidRPr="005C6DD9">
        <w:rPr>
          <w:sz w:val="24"/>
          <w:szCs w:val="24"/>
        </w:rPr>
        <w:t>c</w:t>
      </w:r>
      <w:r>
        <w:rPr>
          <w:sz w:val="24"/>
          <w:szCs w:val="24"/>
        </w:rPr>
        <w:t>onducted using the Chi-squared test and descriptive statistics.</w:t>
      </w:r>
    </w:p>
    <w:p w14:paraId="77C97626" w14:textId="77777777" w:rsidR="00242D30" w:rsidRDefault="00242D30" w:rsidP="000B4F11">
      <w:pPr>
        <w:rPr>
          <w:sz w:val="24"/>
          <w:szCs w:val="24"/>
        </w:rPr>
      </w:pPr>
    </w:p>
    <w:p w14:paraId="5A84EF62" w14:textId="38515A91" w:rsidR="005616D7" w:rsidRDefault="008D2D4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Results: </w:t>
      </w:r>
    </w:p>
    <w:p w14:paraId="27917ADA" w14:textId="6AB81417" w:rsidR="000F0A2B" w:rsidRDefault="000F0A2B">
      <w:pPr>
        <w:rPr>
          <w:sz w:val="24"/>
          <w:szCs w:val="24"/>
        </w:rPr>
      </w:pPr>
      <w:r>
        <w:rPr>
          <w:sz w:val="24"/>
          <w:szCs w:val="24"/>
        </w:rPr>
        <w:t xml:space="preserve">There was a total of 17 patients with 10 patients being in the reached group and 7 being in the unreached group. The average age of the population was 73 years old and it was 38% female. The most common disease state diagnosis was T2DM, followed by CHF, and COPD. The patients in the reached group had a 30-day readmission rate of 10% where the unreached group had a readmission rate of 29%. </w:t>
      </w:r>
      <w:r w:rsidR="00CD6FF0">
        <w:rPr>
          <w:sz w:val="24"/>
          <w:szCs w:val="24"/>
        </w:rPr>
        <w:t xml:space="preserve">However, the reached group saw 30% of patients present to the ED at 30 days, whereas only 29% in the unreached group presented to the ED. A TCM charge was dropped for 30% of patients in the reached group versus 29% of patients in the unreached </w:t>
      </w:r>
      <w:r w:rsidR="00CD6FF0">
        <w:rPr>
          <w:sz w:val="24"/>
          <w:szCs w:val="24"/>
        </w:rPr>
        <w:lastRenderedPageBreak/>
        <w:t>group</w:t>
      </w:r>
      <w:r w:rsidR="002600C7">
        <w:rPr>
          <w:sz w:val="24"/>
          <w:szCs w:val="24"/>
        </w:rPr>
        <w:t>.</w:t>
      </w:r>
      <w:r w:rsidR="005C6DD9">
        <w:rPr>
          <w:sz w:val="24"/>
          <w:szCs w:val="24"/>
        </w:rPr>
        <w:t xml:space="preserve"> M</w:t>
      </w:r>
      <w:r w:rsidR="00CD6FF0">
        <w:rPr>
          <w:sz w:val="24"/>
          <w:szCs w:val="24"/>
        </w:rPr>
        <w:t>ajority of patients did have a follow-up with their PCP</w:t>
      </w:r>
      <w:r w:rsidR="002600C7">
        <w:rPr>
          <w:sz w:val="24"/>
          <w:szCs w:val="24"/>
        </w:rPr>
        <w:t xml:space="preserve"> in both groups</w:t>
      </w:r>
      <w:r w:rsidR="00CD6FF0">
        <w:rPr>
          <w:sz w:val="24"/>
          <w:szCs w:val="24"/>
        </w:rPr>
        <w:t xml:space="preserve"> (60% for reached group versus 71% in the unreached group). </w:t>
      </w:r>
    </w:p>
    <w:p w14:paraId="4D2DB66E" w14:textId="77777777" w:rsidR="00493789" w:rsidRPr="000F0A2B" w:rsidRDefault="00493789">
      <w:pPr>
        <w:rPr>
          <w:sz w:val="24"/>
          <w:szCs w:val="24"/>
        </w:rPr>
      </w:pPr>
    </w:p>
    <w:p w14:paraId="01EA9743" w14:textId="2D7B5935" w:rsidR="008D2D42" w:rsidRDefault="008D2D4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Discussion</w:t>
      </w:r>
      <w:bookmarkStart w:id="0" w:name="_GoBack"/>
      <w:bookmarkEnd w:id="0"/>
      <w:r>
        <w:rPr>
          <w:b/>
          <w:sz w:val="24"/>
          <w:szCs w:val="24"/>
          <w:u w:val="single"/>
        </w:rPr>
        <w:t xml:space="preserve">: </w:t>
      </w:r>
    </w:p>
    <w:p w14:paraId="771F87B8" w14:textId="5FDF7DFA" w:rsidR="00CD6FF0" w:rsidRPr="00CD6FF0" w:rsidRDefault="005C6DD9">
      <w:pPr>
        <w:rPr>
          <w:sz w:val="24"/>
          <w:szCs w:val="24"/>
        </w:rPr>
      </w:pPr>
      <w:r>
        <w:rPr>
          <w:sz w:val="24"/>
          <w:szCs w:val="24"/>
        </w:rPr>
        <w:t>The pharmacist intervention did help with 30-day readmission rates. However, there was not a large improvement in ED visits or TCM charges. Therefore, there is room for improvement on the pharmacists facilitating TCM billing. W</w:t>
      </w:r>
      <w:r w:rsidR="00CD6FF0">
        <w:rPr>
          <w:sz w:val="24"/>
          <w:szCs w:val="24"/>
        </w:rPr>
        <w:t xml:space="preserve">ith the limited sample size our data </w:t>
      </w:r>
      <w:r>
        <w:rPr>
          <w:sz w:val="24"/>
          <w:szCs w:val="24"/>
        </w:rPr>
        <w:t>did not reach power</w:t>
      </w:r>
      <w:r w:rsidR="00CD6FF0">
        <w:rPr>
          <w:sz w:val="24"/>
          <w:szCs w:val="24"/>
        </w:rPr>
        <w:t xml:space="preserve"> and would need to be examined on a much larger scale. </w:t>
      </w:r>
      <w:r>
        <w:rPr>
          <w:sz w:val="24"/>
          <w:szCs w:val="24"/>
        </w:rPr>
        <w:t xml:space="preserve">This study did lay the framework for future studies to be conducted utilizing a larger number of patients in multiple ambulatory care clinics. </w:t>
      </w:r>
    </w:p>
    <w:sectPr w:rsidR="00CD6FF0" w:rsidRPr="00CD6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0470E" w16cex:dateUtc="2022-03-07T13:55:00Z"/>
  <w16cex:commentExtensible w16cex:durableId="25D04748" w16cex:dateUtc="2022-03-07T13:56:00Z"/>
  <w16cex:commentExtensible w16cex:durableId="25D047A1" w16cex:dateUtc="2022-03-07T13:58:00Z"/>
  <w16cex:commentExtensible w16cex:durableId="25D04789" w16cex:dateUtc="2022-03-07T13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ECC555" w16cid:durableId="25D0470E"/>
  <w16cid:commentId w16cid:paraId="48F47D7B" w16cid:durableId="25D04748"/>
  <w16cid:commentId w16cid:paraId="3DC426B3" w16cid:durableId="25D047A1"/>
  <w16cid:commentId w16cid:paraId="19AD152C" w16cid:durableId="25D0478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05"/>
    <w:rsid w:val="00005BE1"/>
    <w:rsid w:val="000572D0"/>
    <w:rsid w:val="00096354"/>
    <w:rsid w:val="000B4F11"/>
    <w:rsid w:val="000C797A"/>
    <w:rsid w:val="000F0A2B"/>
    <w:rsid w:val="00141171"/>
    <w:rsid w:val="00155F05"/>
    <w:rsid w:val="00164076"/>
    <w:rsid w:val="00165C48"/>
    <w:rsid w:val="00242D30"/>
    <w:rsid w:val="002600C7"/>
    <w:rsid w:val="0027274B"/>
    <w:rsid w:val="00390CF6"/>
    <w:rsid w:val="003B074F"/>
    <w:rsid w:val="003B727B"/>
    <w:rsid w:val="00493789"/>
    <w:rsid w:val="0050345C"/>
    <w:rsid w:val="005616D7"/>
    <w:rsid w:val="00564462"/>
    <w:rsid w:val="005C6DD9"/>
    <w:rsid w:val="00630C6C"/>
    <w:rsid w:val="007E2A9D"/>
    <w:rsid w:val="007E2BBA"/>
    <w:rsid w:val="0081002E"/>
    <w:rsid w:val="00821F17"/>
    <w:rsid w:val="008D2D42"/>
    <w:rsid w:val="008D4D7C"/>
    <w:rsid w:val="008D5B94"/>
    <w:rsid w:val="009D2E5F"/>
    <w:rsid w:val="009E7EEF"/>
    <w:rsid w:val="00A75961"/>
    <w:rsid w:val="00A81E15"/>
    <w:rsid w:val="00AC03DB"/>
    <w:rsid w:val="00B32C87"/>
    <w:rsid w:val="00C0640C"/>
    <w:rsid w:val="00CB7ADE"/>
    <w:rsid w:val="00CD6FF0"/>
    <w:rsid w:val="00CF64D1"/>
    <w:rsid w:val="00D64C3C"/>
    <w:rsid w:val="00D77444"/>
    <w:rsid w:val="00DA42F0"/>
    <w:rsid w:val="00E8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2F9E0"/>
  <w15:chartTrackingRefBased/>
  <w15:docId w15:val="{989DD733-F3B4-4B6C-9E49-7EFE1CD6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B7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2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2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2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Novant Health, Inc.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Radz, Marcus A</dc:creator>
  <cp:keywords/>
  <dc:description/>
  <cp:lastModifiedBy>Radz, Marcus A</cp:lastModifiedBy>
  <cp:revision>2</cp:revision>
  <dcterms:created xsi:type="dcterms:W3CDTF">2022-05-05T11:40:00Z</dcterms:created>
  <dcterms:modified xsi:type="dcterms:W3CDTF">2022-05-05T11:40:00Z</dcterms:modified>
</cp:coreProperties>
</file>