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2173D" w14:textId="61F48960" w:rsidR="005A7D50" w:rsidRDefault="005A7D50" w:rsidP="005A7D50">
      <w:pPr>
        <w:spacing w:after="0" w:line="240" w:lineRule="auto"/>
        <w:jc w:val="center"/>
        <w:rPr>
          <w:b/>
        </w:rPr>
      </w:pPr>
      <w:r>
        <w:rPr>
          <w:b/>
        </w:rPr>
        <w:t xml:space="preserve">Automation of an Abbreviated Medication Regimen Complexity </w:t>
      </w:r>
      <w:r w:rsidR="009217F3">
        <w:rPr>
          <w:b/>
        </w:rPr>
        <w:t>Index</w:t>
      </w:r>
      <w:r>
        <w:rPr>
          <w:b/>
        </w:rPr>
        <w:t xml:space="preserve"> (</w:t>
      </w:r>
      <w:r w:rsidR="008C5FFB">
        <w:rPr>
          <w:b/>
        </w:rPr>
        <w:t>A-</w:t>
      </w:r>
      <w:r>
        <w:rPr>
          <w:b/>
        </w:rPr>
        <w:t>MRCI)</w:t>
      </w:r>
    </w:p>
    <w:p w14:paraId="6EC27133" w14:textId="77777777" w:rsidR="005A7D50" w:rsidRDefault="005A7D50" w:rsidP="005A7D50">
      <w:pPr>
        <w:spacing w:after="0" w:line="240" w:lineRule="auto"/>
        <w:jc w:val="center"/>
      </w:pPr>
    </w:p>
    <w:p w14:paraId="347D9CE7" w14:textId="77777777" w:rsidR="005A7D50" w:rsidRPr="00EE3EB3" w:rsidRDefault="005A7D50" w:rsidP="005A7D50">
      <w:pPr>
        <w:spacing w:after="0" w:line="240" w:lineRule="auto"/>
        <w:rPr>
          <w:vertAlign w:val="superscript"/>
        </w:rPr>
      </w:pPr>
      <w:r w:rsidRPr="005A7D50">
        <w:rPr>
          <w:b/>
        </w:rPr>
        <w:t xml:space="preserve">Authors: </w:t>
      </w:r>
      <w:r>
        <w:t>Rebekah Placide,</w:t>
      </w:r>
      <w:r w:rsidR="00EE3EB3">
        <w:t xml:space="preserve"> PharmD</w:t>
      </w:r>
      <w:r w:rsidR="00EE3EB3">
        <w:rPr>
          <w:vertAlign w:val="superscript"/>
        </w:rPr>
        <w:t>1,2</w:t>
      </w:r>
      <w:r w:rsidR="00EE3EB3">
        <w:t>;</w:t>
      </w:r>
      <w:r>
        <w:t xml:space="preserve"> </w:t>
      </w:r>
      <w:r w:rsidR="00EE3EB3" w:rsidRPr="00EE3EB3">
        <w:t>Zack Deyo, PharmD, BCPS, CPP</w:t>
      </w:r>
      <w:r w:rsidR="00EE3EB3">
        <w:rPr>
          <w:vertAlign w:val="superscript"/>
        </w:rPr>
        <w:t>1</w:t>
      </w:r>
      <w:r w:rsidR="00EE3EB3">
        <w:t>; Ina Liu, PharmD, MS, BCPS</w:t>
      </w:r>
      <w:r w:rsidR="00EE3EB3">
        <w:rPr>
          <w:vertAlign w:val="superscript"/>
        </w:rPr>
        <w:t>1</w:t>
      </w:r>
      <w:r w:rsidR="00EE3EB3">
        <w:t>; Evan Colmenares, PharmD</w:t>
      </w:r>
      <w:r w:rsidR="00EE3EB3">
        <w:rPr>
          <w:vertAlign w:val="superscript"/>
        </w:rPr>
        <w:t>1,2</w:t>
      </w:r>
      <w:r w:rsidR="00EE3EB3">
        <w:t xml:space="preserve">; </w:t>
      </w:r>
      <w:r w:rsidR="00EE3EB3" w:rsidRPr="00EE3EB3">
        <w:t>Mary-Haston Vest, PharmD, MS, BCPS</w:t>
      </w:r>
      <w:r w:rsidR="00EE3EB3">
        <w:rPr>
          <w:vertAlign w:val="superscript"/>
        </w:rPr>
        <w:t>1</w:t>
      </w:r>
    </w:p>
    <w:p w14:paraId="51F908A2" w14:textId="77777777" w:rsidR="005A7D50" w:rsidRDefault="005A7D50" w:rsidP="005A7D50">
      <w:pPr>
        <w:spacing w:after="0" w:line="240" w:lineRule="auto"/>
      </w:pPr>
    </w:p>
    <w:p w14:paraId="59CD09F7" w14:textId="77777777" w:rsidR="005A7D50" w:rsidRDefault="005A7D50" w:rsidP="005A7D50">
      <w:pPr>
        <w:spacing w:after="0" w:line="240" w:lineRule="auto"/>
      </w:pPr>
      <w:r w:rsidRPr="005A7D50">
        <w:rPr>
          <w:b/>
        </w:rPr>
        <w:t>Practice Site:</w:t>
      </w:r>
      <w:r>
        <w:t xml:space="preserve"> </w:t>
      </w:r>
      <w:r w:rsidR="00EE3EB3">
        <w:rPr>
          <w:vertAlign w:val="superscript"/>
        </w:rPr>
        <w:t>1</w:t>
      </w:r>
      <w:r>
        <w:t>UNC Medical Center</w:t>
      </w:r>
      <w:r w:rsidR="00EE3EB3">
        <w:t>,</w:t>
      </w:r>
      <w:r>
        <w:t xml:space="preserve"> </w:t>
      </w:r>
      <w:r w:rsidR="00EE3EB3">
        <w:rPr>
          <w:vertAlign w:val="superscript"/>
        </w:rPr>
        <w:t>2</w:t>
      </w:r>
      <w:r>
        <w:t>UNC Eshelman School of Pharmacy</w:t>
      </w:r>
    </w:p>
    <w:p w14:paraId="2A041DC7" w14:textId="77777777" w:rsidR="005A7D50" w:rsidRDefault="005A7D50" w:rsidP="005A7D50">
      <w:pPr>
        <w:spacing w:after="0" w:line="240" w:lineRule="auto"/>
      </w:pPr>
    </w:p>
    <w:p w14:paraId="0361799F" w14:textId="2D22DC3E" w:rsidR="00531B25" w:rsidRPr="00A31B3B" w:rsidRDefault="005A7D50" w:rsidP="00A31B3B">
      <w:pPr>
        <w:spacing w:after="0" w:line="240" w:lineRule="auto"/>
        <w:rPr>
          <w:b/>
        </w:rPr>
      </w:pPr>
      <w:r w:rsidRPr="005A7D50">
        <w:rPr>
          <w:b/>
        </w:rPr>
        <w:t>Background:</w:t>
      </w:r>
      <w:r w:rsidR="000F7056">
        <w:rPr>
          <w:b/>
        </w:rPr>
        <w:t xml:space="preserve"> </w:t>
      </w:r>
      <w:r w:rsidR="000F7056" w:rsidRPr="000F7056">
        <w:t xml:space="preserve">The 65-item Medication Regimen Complexity Index (MRCI) is a reliable and valid tool that is widely utilized to quantify the complexity of </w:t>
      </w:r>
      <w:r w:rsidR="00A31B3B">
        <w:t>prescribed medication regimens.</w:t>
      </w:r>
      <w:r w:rsidR="000F7056" w:rsidRPr="000F7056">
        <w:t xml:space="preserve"> The MRCI is composed of three weighted elements (i.e. dosage forms, dosage frequency, and administration instructions) which are calculated into a predictive score that will infer the likelihood of poor adherence and </w:t>
      </w:r>
      <w:r w:rsidR="00A31B3B">
        <w:t>additional suboptimal outcomes.</w:t>
      </w:r>
      <w:r w:rsidR="000F7056" w:rsidRPr="000F7056">
        <w:t xml:space="preserve"> Although the MRCI has been validated via expert panel consensus, the development process involved a single cohort of chronic obstructive pulmonary disease (COPD) patients and solely included prescription medications in the assessment of </w:t>
      </w:r>
      <w:r w:rsidR="00A31B3B">
        <w:t xml:space="preserve">medication regimen complexity. </w:t>
      </w:r>
      <w:r w:rsidR="000F7056" w:rsidRPr="000F7056">
        <w:t>A gap exists in the study of medication regimen complexity for defined cohorts across a broad range of disease-specific populations, although there is an apparent desire to use the MRCI as a risk assessment tool to identify patients for subsequent interventions.</w:t>
      </w:r>
      <w:r w:rsidR="00A31B3B">
        <w:t xml:space="preserve"> </w:t>
      </w:r>
    </w:p>
    <w:p w14:paraId="521ED0B3" w14:textId="77777777" w:rsidR="00531B25" w:rsidRDefault="00531B25" w:rsidP="000F7056">
      <w:pPr>
        <w:spacing w:after="0" w:line="240" w:lineRule="auto"/>
        <w:rPr>
          <w:b/>
        </w:rPr>
      </w:pPr>
    </w:p>
    <w:p w14:paraId="7233EF8C" w14:textId="30E7C8FD" w:rsidR="004059D1" w:rsidRPr="00106DB7" w:rsidRDefault="005A7D50" w:rsidP="004059D1">
      <w:pPr>
        <w:spacing w:after="0" w:line="240" w:lineRule="auto"/>
      </w:pPr>
      <w:r w:rsidRPr="005A7D50">
        <w:rPr>
          <w:b/>
        </w:rPr>
        <w:t>Objective:</w:t>
      </w:r>
      <w:r>
        <w:t xml:space="preserve"> </w:t>
      </w:r>
      <w:r w:rsidR="00106DB7">
        <w:t xml:space="preserve">The primary objective of this study is to compare MRCI and abbreviated MRCI (A-MRCI) </w:t>
      </w:r>
      <w:r w:rsidR="00EB6C15">
        <w:t xml:space="preserve">weighted </w:t>
      </w:r>
      <w:r w:rsidR="009217F3">
        <w:t>scores</w:t>
      </w:r>
      <w:r w:rsidR="00106DB7">
        <w:t xml:space="preserve"> among primary care patients</w:t>
      </w:r>
      <w:r w:rsidR="005F3E9F">
        <w:t>. Secondary objectives include</w:t>
      </w:r>
      <w:r w:rsidR="00106DB7">
        <w:t xml:space="preserve"> the development of </w:t>
      </w:r>
      <w:r w:rsidR="004059D1" w:rsidRPr="000F7056">
        <w:t xml:space="preserve">an institution-specific, automated </w:t>
      </w:r>
      <w:r w:rsidR="00106DB7">
        <w:t>A-MRCI to</w:t>
      </w:r>
      <w:r w:rsidR="004059D1" w:rsidRPr="000F7056">
        <w:t xml:space="preserve"> </w:t>
      </w:r>
      <w:r w:rsidR="00580DA6" w:rsidRPr="000F7056">
        <w:t>augment</w:t>
      </w:r>
      <w:r w:rsidR="004059D1" w:rsidRPr="000F7056">
        <w:t xml:space="preserve"> </w:t>
      </w:r>
      <w:r w:rsidR="00580DA6">
        <w:t>risk-stratification measures in identifying patients</w:t>
      </w:r>
      <w:r w:rsidR="004059D1" w:rsidRPr="000F7056">
        <w:t xml:space="preserve"> who may benefit from pharmacy interventions across an integrated health care system.</w:t>
      </w:r>
    </w:p>
    <w:p w14:paraId="02F611F5" w14:textId="0CA15810" w:rsidR="004059D1" w:rsidRDefault="004059D1" w:rsidP="005A7D50">
      <w:pPr>
        <w:spacing w:after="0" w:line="240" w:lineRule="auto"/>
      </w:pPr>
    </w:p>
    <w:p w14:paraId="1C8DB8B7" w14:textId="67903029" w:rsidR="005A7D50" w:rsidRDefault="005A7D50" w:rsidP="005A7D50">
      <w:pPr>
        <w:spacing w:after="0" w:line="240" w:lineRule="auto"/>
      </w:pPr>
      <w:r w:rsidRPr="005A7D50">
        <w:rPr>
          <w:b/>
        </w:rPr>
        <w:t>Methods</w:t>
      </w:r>
      <w:r>
        <w:t xml:space="preserve">: </w:t>
      </w:r>
      <w:r w:rsidR="008C18A4">
        <w:t xml:space="preserve">This </w:t>
      </w:r>
      <w:r w:rsidR="005F3E9F">
        <w:t>is</w:t>
      </w:r>
      <w:r w:rsidR="008C18A4">
        <w:t xml:space="preserve"> a retro</w:t>
      </w:r>
      <w:r w:rsidR="005F3E9F">
        <w:t xml:space="preserve">spective, cross-sectional study </w:t>
      </w:r>
      <w:r w:rsidR="00C870E5">
        <w:t xml:space="preserve">in patients </w:t>
      </w:r>
      <w:r w:rsidR="009217F3">
        <w:t>enrolled in</w:t>
      </w:r>
      <w:r w:rsidR="009E2E72">
        <w:t xml:space="preserve"> UNC clinics with </w:t>
      </w:r>
      <w:r w:rsidR="00580DA6">
        <w:t xml:space="preserve">a pharmacy presence. </w:t>
      </w:r>
      <w:r w:rsidR="002D7491">
        <w:t>Survey</w:t>
      </w:r>
      <w:r w:rsidR="00EB6C15">
        <w:t xml:space="preserve"> items with the potential to be automated, truncated, </w:t>
      </w:r>
      <w:r w:rsidR="00302A94">
        <w:t xml:space="preserve">substituted, </w:t>
      </w:r>
      <w:r w:rsidR="00EB6C15">
        <w:t xml:space="preserve">or discarded from the long-form MRCI will be </w:t>
      </w:r>
      <w:r w:rsidR="00302A94">
        <w:t>evaluated</w:t>
      </w:r>
      <w:r w:rsidR="00EB6C15">
        <w:t xml:space="preserve"> to develop the A-MRCI. Weighted MRCI and A-MRCI scores </w:t>
      </w:r>
      <w:r w:rsidR="00302A94">
        <w:t>will be</w:t>
      </w:r>
      <w:r w:rsidR="00EB6C15">
        <w:t xml:space="preserve"> calculated from the medication regimens of</w:t>
      </w:r>
      <w:r w:rsidR="00580DA6">
        <w:t xml:space="preserve"> a su</w:t>
      </w:r>
      <w:bookmarkStart w:id="0" w:name="_GoBack"/>
      <w:bookmarkEnd w:id="0"/>
      <w:r w:rsidR="00580DA6">
        <w:t xml:space="preserve">bset of clinic </w:t>
      </w:r>
      <w:r w:rsidR="00EB6C15">
        <w:t>patients. A regression analysis will be conducted to examine the accuracy of final weighted scores and classifications between both indices.</w:t>
      </w:r>
    </w:p>
    <w:p w14:paraId="166A1AEF" w14:textId="06D7C8AC" w:rsidR="008C18A4" w:rsidRDefault="008C18A4" w:rsidP="005A7D50">
      <w:pPr>
        <w:spacing w:after="0" w:line="240" w:lineRule="auto"/>
      </w:pPr>
    </w:p>
    <w:p w14:paraId="660EA978" w14:textId="19A8466C" w:rsidR="00531B25" w:rsidRPr="00531B25" w:rsidRDefault="005A7D50" w:rsidP="00687F9F">
      <w:pPr>
        <w:spacing w:after="0" w:line="240" w:lineRule="auto"/>
      </w:pPr>
      <w:r w:rsidRPr="005A7D50">
        <w:rPr>
          <w:b/>
        </w:rPr>
        <w:t>Preliminary Results:</w:t>
      </w:r>
      <w:r w:rsidR="00C870E5">
        <w:t xml:space="preserve"> </w:t>
      </w:r>
      <w:r w:rsidR="00492889">
        <w:t>MRCI survey</w:t>
      </w:r>
      <w:r w:rsidR="00687F9F">
        <w:t xml:space="preserve"> items </w:t>
      </w:r>
      <w:r w:rsidR="00492889">
        <w:t>pertaining to medication</w:t>
      </w:r>
      <w:r w:rsidR="00687F9F">
        <w:t xml:space="preserve"> dosage form</w:t>
      </w:r>
      <w:r w:rsidR="00492889">
        <w:t>s</w:t>
      </w:r>
      <w:r w:rsidR="00687F9F">
        <w:t xml:space="preserve"> may be abbreviated as well as </w:t>
      </w:r>
      <w:r w:rsidR="00C870E5">
        <w:t>extrapolated from the electronic medical record</w:t>
      </w:r>
      <w:r w:rsidR="00492889">
        <w:t>,</w:t>
      </w:r>
      <w:r w:rsidR="00C870E5">
        <w:t xml:space="preserve"> </w:t>
      </w:r>
      <w:r w:rsidR="00687F9F">
        <w:t>often in the form</w:t>
      </w:r>
      <w:r w:rsidR="00492889">
        <w:t xml:space="preserve"> of discrete data </w:t>
      </w:r>
      <w:r w:rsidR="00492889">
        <w:t>(~50%)</w:t>
      </w:r>
      <w:r w:rsidR="00492889">
        <w:t xml:space="preserve">. However, those survey items within the </w:t>
      </w:r>
      <w:r w:rsidR="00687F9F">
        <w:t xml:space="preserve">dosage frequency and additional instructions sections may be more complex to abbreviate and/or automate due to the variability </w:t>
      </w:r>
      <w:r w:rsidR="00492889">
        <w:t>of available</w:t>
      </w:r>
      <w:r w:rsidR="00687F9F">
        <w:t xml:space="preserve"> discrete data (i.e. free-text sigs) and ambiguity of administration instructions (e.g. as needed, use as directed, ACHS etc.)</w:t>
      </w:r>
      <w:r w:rsidR="00FE0BBC">
        <w:t xml:space="preserve">. Approximately </w:t>
      </w:r>
      <w:r w:rsidR="00531B25" w:rsidRPr="00531B25">
        <w:t xml:space="preserve">25% </w:t>
      </w:r>
      <w:r w:rsidR="00FE0BBC">
        <w:t xml:space="preserve">of these </w:t>
      </w:r>
      <w:r w:rsidR="002D7491">
        <w:t>survey</w:t>
      </w:r>
      <w:r w:rsidR="00FE0BBC">
        <w:t xml:space="preserve"> items are not expected to be automated from the A-MRCI.</w:t>
      </w:r>
    </w:p>
    <w:p w14:paraId="77683C00" w14:textId="77777777" w:rsidR="00FE0BBC" w:rsidRDefault="00FE0BBC" w:rsidP="005A7D50">
      <w:pPr>
        <w:spacing w:after="0" w:line="240" w:lineRule="auto"/>
      </w:pPr>
    </w:p>
    <w:p w14:paraId="70CCD3AA" w14:textId="4FCC937D" w:rsidR="007A4935" w:rsidRPr="007A4935" w:rsidRDefault="005A7D50" w:rsidP="007A4935">
      <w:r w:rsidRPr="005A7D50">
        <w:rPr>
          <w:b/>
        </w:rPr>
        <w:t>Conclusion:</w:t>
      </w:r>
      <w:r>
        <w:t xml:space="preserve"> </w:t>
      </w:r>
      <w:r w:rsidR="0080514A">
        <w:t>R</w:t>
      </w:r>
      <w:r w:rsidR="0080514A" w:rsidRPr="007A4935">
        <w:t>educing medication complexity has positive effects on clinically relevant health care outcomes, such as medication adherence and hospitalization</w:t>
      </w:r>
      <w:r w:rsidR="0080514A">
        <w:t>.</w:t>
      </w:r>
      <w:r w:rsidR="0080514A" w:rsidRPr="007A4935">
        <w:t xml:space="preserve"> </w:t>
      </w:r>
      <w:r w:rsidR="007A4935" w:rsidRPr="007A4935">
        <w:t xml:space="preserve">The </w:t>
      </w:r>
      <w:r w:rsidR="00302A94">
        <w:t>A-</w:t>
      </w:r>
      <w:r w:rsidR="007A4935" w:rsidRPr="007A4935">
        <w:t xml:space="preserve">MCRI may serve as a mechanism </w:t>
      </w:r>
      <w:r w:rsidR="006E74C6">
        <w:t xml:space="preserve">to mitigate medication regimen complexity, as well </w:t>
      </w:r>
      <w:r w:rsidR="00492889">
        <w:t>as a quantifiable tool to</w:t>
      </w:r>
      <w:r w:rsidR="006E74C6">
        <w:t xml:space="preserve"> </w:t>
      </w:r>
      <w:r w:rsidR="00492889">
        <w:t>demonstrate the</w:t>
      </w:r>
      <w:r w:rsidR="006E74C6">
        <w:t xml:space="preserve"> value of pharmacy services</w:t>
      </w:r>
      <w:r w:rsidR="00492889">
        <w:t xml:space="preserve"> and </w:t>
      </w:r>
      <w:r w:rsidR="00F75628">
        <w:t>patient</w:t>
      </w:r>
      <w:r w:rsidR="00492889">
        <w:t xml:space="preserve"> outcomes</w:t>
      </w:r>
      <w:r w:rsidR="006E74C6">
        <w:t xml:space="preserve">. </w:t>
      </w:r>
      <w:r w:rsidR="008C5DF1">
        <w:t xml:space="preserve">However, further assessment is needed to support the </w:t>
      </w:r>
      <w:r w:rsidR="00492889">
        <w:t>automation of survey items encompassing dosage frequency and additional instructions.</w:t>
      </w:r>
    </w:p>
    <w:p w14:paraId="65315E10" w14:textId="7BE0F41A" w:rsidR="008C18A4" w:rsidRDefault="008C18A4" w:rsidP="008C18A4">
      <w:pPr>
        <w:spacing w:after="0" w:line="240" w:lineRule="auto"/>
      </w:pPr>
    </w:p>
    <w:sectPr w:rsidR="008C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601"/>
    <w:multiLevelType w:val="multilevel"/>
    <w:tmpl w:val="7CC6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940DD"/>
    <w:multiLevelType w:val="multilevel"/>
    <w:tmpl w:val="3AC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E7B28"/>
    <w:multiLevelType w:val="multilevel"/>
    <w:tmpl w:val="0D7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747EA9"/>
    <w:multiLevelType w:val="multilevel"/>
    <w:tmpl w:val="C92A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28E7735"/>
    <w:multiLevelType w:val="multilevel"/>
    <w:tmpl w:val="0FC2D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0"/>
    <w:rsid w:val="000F7056"/>
    <w:rsid w:val="00106DB7"/>
    <w:rsid w:val="00195B86"/>
    <w:rsid w:val="00264400"/>
    <w:rsid w:val="00295961"/>
    <w:rsid w:val="002D7491"/>
    <w:rsid w:val="002F4E8E"/>
    <w:rsid w:val="00302A94"/>
    <w:rsid w:val="004059D1"/>
    <w:rsid w:val="00492889"/>
    <w:rsid w:val="004C2AFB"/>
    <w:rsid w:val="00531B25"/>
    <w:rsid w:val="00580DA6"/>
    <w:rsid w:val="005A7D50"/>
    <w:rsid w:val="005F3E9F"/>
    <w:rsid w:val="006010EC"/>
    <w:rsid w:val="00687F9F"/>
    <w:rsid w:val="006E74C6"/>
    <w:rsid w:val="006F6513"/>
    <w:rsid w:val="00702255"/>
    <w:rsid w:val="007A4935"/>
    <w:rsid w:val="0080514A"/>
    <w:rsid w:val="00847219"/>
    <w:rsid w:val="008C18A4"/>
    <w:rsid w:val="008C5DF1"/>
    <w:rsid w:val="008C5FFB"/>
    <w:rsid w:val="009217F3"/>
    <w:rsid w:val="009632AD"/>
    <w:rsid w:val="009652B4"/>
    <w:rsid w:val="009E2E72"/>
    <w:rsid w:val="00A31B3B"/>
    <w:rsid w:val="00A84E18"/>
    <w:rsid w:val="00B34206"/>
    <w:rsid w:val="00C870E5"/>
    <w:rsid w:val="00DC6C5C"/>
    <w:rsid w:val="00E10980"/>
    <w:rsid w:val="00EB6C15"/>
    <w:rsid w:val="00EE3EB3"/>
    <w:rsid w:val="00F75628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2B38"/>
  <w15:chartTrackingRefBased/>
  <w15:docId w15:val="{5F664A9E-990D-4B04-B006-6A7B61E8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B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4D8D9B423FE4594CF1430AEB302BA" ma:contentTypeVersion="11" ma:contentTypeDescription="Create a new document." ma:contentTypeScope="" ma:versionID="7319336153da5656e97b78b4e6a43f5a">
  <xsd:schema xmlns:xsd="http://www.w3.org/2001/XMLSchema" xmlns:xs="http://www.w3.org/2001/XMLSchema" xmlns:p="http://schemas.microsoft.com/office/2006/metadata/properties" xmlns:ns3="52c4d85e-3bca-4653-8a97-f3256a1b005c" xmlns:ns4="5d37d99f-7ac6-4117-89af-4a3a46c0199c" targetNamespace="http://schemas.microsoft.com/office/2006/metadata/properties" ma:root="true" ma:fieldsID="6b2fff284c0d931aefcdbcc88c9b924a" ns3:_="" ns4:_="">
    <xsd:import namespace="52c4d85e-3bca-4653-8a97-f3256a1b005c"/>
    <xsd:import namespace="5d37d99f-7ac6-4117-89af-4a3a46c01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d85e-3bca-4653-8a97-f3256a1b0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d99f-7ac6-4117-89af-4a3a46c01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B08E3-65FB-454D-9DE8-F3976FFF99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2c4d85e-3bca-4653-8a97-f3256a1b00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d37d99f-7ac6-4117-89af-4a3a46c019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F6F727-4854-4D49-9CAE-6B34F7D83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4d85e-3bca-4653-8a97-f3256a1b005c"/>
    <ds:schemaRef ds:uri="5d37d99f-7ac6-4117-89af-4a3a46c01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1FB9E-5F84-414B-B8D9-3EA336028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Placide, Rebekah</dc:creator>
  <cp:keywords/>
  <dc:description/>
  <cp:lastModifiedBy>Placide, Rebekah</cp:lastModifiedBy>
  <cp:revision>18</cp:revision>
  <dcterms:created xsi:type="dcterms:W3CDTF">2022-05-05T02:53:00Z</dcterms:created>
  <dcterms:modified xsi:type="dcterms:W3CDTF">2022-05-07T03:49:00Z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0x01010008C4D8D9B423FE4594CF1430AEB302BA</vt:lpwstr>
  </property>
</Properties>
</file>