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A540" w14:textId="6767C4FD" w:rsidR="008A7026" w:rsidRDefault="008A7026">
      <w:r w:rsidRPr="0040485D">
        <w:rPr>
          <w:b/>
          <w:bCs/>
        </w:rPr>
        <w:t>Authors</w:t>
      </w:r>
      <w:r>
        <w:t>: Morgan Phillips, PharmD</w:t>
      </w:r>
    </w:p>
    <w:p w14:paraId="12FD19D8" w14:textId="73BB13DE" w:rsidR="008A7026" w:rsidRDefault="008A7026">
      <w:r w:rsidRPr="0040485D">
        <w:rPr>
          <w:b/>
          <w:bCs/>
        </w:rPr>
        <w:t>Practice Site</w:t>
      </w:r>
      <w:r>
        <w:t>: Sentara RMH Medical Center – Harrisonburg, VA</w:t>
      </w:r>
    </w:p>
    <w:p w14:paraId="6AF6287A" w14:textId="6090BD37" w:rsidR="008A7026" w:rsidRDefault="008A7026">
      <w:r w:rsidRPr="0040485D">
        <w:rPr>
          <w:b/>
          <w:bCs/>
        </w:rPr>
        <w:t>Background</w:t>
      </w:r>
      <w:r>
        <w:t xml:space="preserve">: Vancomycin is used for Gram-positive infections, including </w:t>
      </w:r>
      <w:r w:rsidRPr="008A7026">
        <w:rPr>
          <w:i/>
          <w:iCs/>
        </w:rPr>
        <w:t>methicillin-resistant staphylococcus aureus</w:t>
      </w:r>
      <w:r>
        <w:t xml:space="preserve"> and </w:t>
      </w:r>
      <w:r w:rsidRPr="008A7026">
        <w:rPr>
          <w:i/>
          <w:iCs/>
        </w:rPr>
        <w:t>Enterococcus faecalis</w:t>
      </w:r>
      <w:r>
        <w:t xml:space="preserve">. The 2020 vancomycin guidelines provided an update on vancomycin dosing, which recommended an optimal </w:t>
      </w:r>
      <w:proofErr w:type="gramStart"/>
      <w:r>
        <w:t>AUC:MIC</w:t>
      </w:r>
      <w:proofErr w:type="gramEnd"/>
      <w:r>
        <w:t xml:space="preserve"> target of 400-600. </w:t>
      </w:r>
      <w:r w:rsidR="0040485D">
        <w:t>In 2021,</w:t>
      </w:r>
      <w:r>
        <w:t xml:space="preserve"> a pharmacy-driven </w:t>
      </w:r>
      <w:proofErr w:type="gramStart"/>
      <w:r>
        <w:t>AUC:MIC</w:t>
      </w:r>
      <w:proofErr w:type="gramEnd"/>
      <w:r>
        <w:t xml:space="preserve"> vancomycin dosing protocol was implemented</w:t>
      </w:r>
      <w:r w:rsidR="00DA2619">
        <w:t xml:space="preserve"> across 12 Sentara </w:t>
      </w:r>
      <w:r w:rsidR="0040485D">
        <w:t xml:space="preserve">Health System </w:t>
      </w:r>
      <w:r w:rsidR="00DA2619">
        <w:t xml:space="preserve">hospitals. </w:t>
      </w:r>
    </w:p>
    <w:p w14:paraId="073ACB44" w14:textId="2B03EC02" w:rsidR="008A7026" w:rsidRDefault="008A7026">
      <w:r w:rsidRPr="0040485D">
        <w:rPr>
          <w:b/>
          <w:bCs/>
        </w:rPr>
        <w:t>Objective</w:t>
      </w:r>
      <w:r>
        <w:t>:</w:t>
      </w:r>
      <w:r w:rsidR="00DA2619">
        <w:t xml:space="preserve"> The primary objective of this study was to assess if the pharmacy-driven </w:t>
      </w:r>
      <w:proofErr w:type="gramStart"/>
      <w:r w:rsidR="00DA2619">
        <w:t>AUC:MIC</w:t>
      </w:r>
      <w:proofErr w:type="gramEnd"/>
      <w:r w:rsidR="00DA2619">
        <w:t xml:space="preserve"> vancomycin dosing protocol led to fewer AKI (acute kidney injury) rates compared to trough-based dosing. Secondary objectives included vancomycin duration, hospital length of stay, </w:t>
      </w:r>
      <w:r w:rsidR="0040485D">
        <w:t xml:space="preserve">total amount of vancomycin, vancomycin labs drawn during standard lab times, </w:t>
      </w:r>
      <w:r w:rsidR="00DA2619">
        <w:t>and cost.</w:t>
      </w:r>
    </w:p>
    <w:p w14:paraId="5FA17585" w14:textId="60F80D8A" w:rsidR="008A7026" w:rsidRDefault="008A7026">
      <w:r w:rsidRPr="0040485D">
        <w:rPr>
          <w:b/>
          <w:bCs/>
        </w:rPr>
        <w:t>Methods</w:t>
      </w:r>
      <w:r>
        <w:t>:</w:t>
      </w:r>
      <w:r w:rsidR="00DA2619">
        <w:t xml:space="preserve"> This was a retrospective study conducted across 12 hospitals in Virginia and North Carolina (11 community hospitals and 1 teaching hospital). The trough-based group included patients from April 1</w:t>
      </w:r>
      <w:r w:rsidR="00DA2619" w:rsidRPr="00DA2619">
        <w:rPr>
          <w:vertAlign w:val="superscript"/>
        </w:rPr>
        <w:t>st</w:t>
      </w:r>
      <w:r w:rsidR="00DA2619">
        <w:t>, 2019 through August 31</w:t>
      </w:r>
      <w:r w:rsidR="00DA2619" w:rsidRPr="00DA2619">
        <w:rPr>
          <w:vertAlign w:val="superscript"/>
        </w:rPr>
        <w:t>st</w:t>
      </w:r>
      <w:r w:rsidR="00DA2619">
        <w:t xml:space="preserve">, 2019 and the </w:t>
      </w:r>
      <w:proofErr w:type="gramStart"/>
      <w:r w:rsidR="00DA2619">
        <w:t>AUC:MIC</w:t>
      </w:r>
      <w:proofErr w:type="gramEnd"/>
      <w:r w:rsidR="00DA2619">
        <w:t>-based group included patients from April 1</w:t>
      </w:r>
      <w:r w:rsidR="00DA2619" w:rsidRPr="00DA2619">
        <w:rPr>
          <w:vertAlign w:val="superscript"/>
        </w:rPr>
        <w:t>st</w:t>
      </w:r>
      <w:r w:rsidR="00DA2619">
        <w:t>, 2021 through August 31</w:t>
      </w:r>
      <w:r w:rsidR="00DA2619" w:rsidRPr="00DA2619">
        <w:rPr>
          <w:vertAlign w:val="superscript"/>
        </w:rPr>
        <w:t>st</w:t>
      </w:r>
      <w:r w:rsidR="00DA2619">
        <w:t xml:space="preserve">, 2021. </w:t>
      </w:r>
      <w:r w:rsidR="00606BC1">
        <w:t xml:space="preserve">AKI was determined as an increase in serum creatinine </w:t>
      </w:r>
      <w:r w:rsidR="00606BC1">
        <w:rPr>
          <w:rFonts w:cstheme="minorHAnsi"/>
        </w:rPr>
        <w:t>≥</w:t>
      </w:r>
      <w:r w:rsidR="00606BC1">
        <w:t xml:space="preserve">0.3 mg/dL or </w:t>
      </w:r>
      <w:r w:rsidR="00606BC1">
        <w:rPr>
          <w:rFonts w:cstheme="minorHAnsi"/>
        </w:rPr>
        <w:t>≥</w:t>
      </w:r>
      <w:r w:rsidR="00606BC1">
        <w:rPr>
          <w:rFonts w:cstheme="minorHAnsi"/>
        </w:rPr>
        <w:t xml:space="preserve">50% from start of vancomycin therapy on 2 consecutive occasions. Inferential statistics were used to analyze the results of this retrospective study. </w:t>
      </w:r>
    </w:p>
    <w:p w14:paraId="636D90D5" w14:textId="362F0A65" w:rsidR="008A7026" w:rsidRDefault="008A7026">
      <w:r w:rsidRPr="0040485D">
        <w:rPr>
          <w:b/>
          <w:bCs/>
        </w:rPr>
        <w:t>Results</w:t>
      </w:r>
      <w:r>
        <w:t>:</w:t>
      </w:r>
      <w:r w:rsidR="00606BC1">
        <w:t xml:space="preserve"> A total of 2,058 patients were included in the trough-based group and 2,471 patients were included in the </w:t>
      </w:r>
      <w:proofErr w:type="gramStart"/>
      <w:r w:rsidR="00606BC1">
        <w:t>AUC:MIC</w:t>
      </w:r>
      <w:proofErr w:type="gramEnd"/>
      <w:r w:rsidR="00606BC1">
        <w:t xml:space="preserve">-based group. Nephrotoxin use was not statistically different among the </w:t>
      </w:r>
      <w:r w:rsidR="00F80BAC">
        <w:t>two groups</w:t>
      </w:r>
      <w:r w:rsidR="0040485D">
        <w:t xml:space="preserve"> (80.1% (</w:t>
      </w:r>
      <w:proofErr w:type="gramStart"/>
      <w:r w:rsidR="0040485D">
        <w:t>AUC:MIC</w:t>
      </w:r>
      <w:proofErr w:type="gramEnd"/>
      <w:r w:rsidR="0040485D">
        <w:t xml:space="preserve"> group) vs. 80.2% (trough group), P=0.915)</w:t>
      </w:r>
      <w:r w:rsidR="00F80BAC">
        <w:t>. There were greater ICU admissions among the trough-based group</w:t>
      </w:r>
      <w:r w:rsidR="0040485D">
        <w:t xml:space="preserve"> (7.6% vs. 9.4%, P&lt;0.05)</w:t>
      </w:r>
      <w:r w:rsidR="00F80BAC">
        <w:t xml:space="preserve"> and greater use of contrast dye among the </w:t>
      </w:r>
      <w:proofErr w:type="gramStart"/>
      <w:r w:rsidR="00F80BAC">
        <w:t>AUC:MIC</w:t>
      </w:r>
      <w:proofErr w:type="gramEnd"/>
      <w:r w:rsidR="00F80BAC">
        <w:t>-based group</w:t>
      </w:r>
      <w:r w:rsidR="0040485D">
        <w:t xml:space="preserve"> (59.7% vs. 48.4%, P&lt;0.05)</w:t>
      </w:r>
      <w:r w:rsidR="00F80BAC">
        <w:t xml:space="preserve">. The rate of AKI was 19.4% in the trough-based group and 17.5% in the </w:t>
      </w:r>
      <w:proofErr w:type="gramStart"/>
      <w:r w:rsidR="00F80BAC">
        <w:t>AUC:MIC</w:t>
      </w:r>
      <w:proofErr w:type="gramEnd"/>
      <w:r w:rsidR="00F80BAC">
        <w:t xml:space="preserve">-based group (P=0.092). 52% of labs were obtained during standard lab times in the </w:t>
      </w:r>
      <w:proofErr w:type="gramStart"/>
      <w:r w:rsidR="00F80BAC">
        <w:t>AUC:MIC</w:t>
      </w:r>
      <w:proofErr w:type="gramEnd"/>
      <w:r w:rsidR="00F80BAC">
        <w:t xml:space="preserve"> group and 24% in the trough group. </w:t>
      </w:r>
      <w:r w:rsidR="006A5E61">
        <w:t xml:space="preserve">There were 2.1 labs drawn per person in the trough-based group and 2.3 labs drawn per person in the </w:t>
      </w:r>
      <w:proofErr w:type="gramStart"/>
      <w:r w:rsidR="006A5E61">
        <w:t>AUC:MIC</w:t>
      </w:r>
      <w:proofErr w:type="gramEnd"/>
      <w:r w:rsidR="006A5E61">
        <w:t xml:space="preserve">-based group. The median total dose of vancomycin was 9,250mg in the trough-based group and 8,250mg in the </w:t>
      </w:r>
      <w:proofErr w:type="gramStart"/>
      <w:r w:rsidR="006A5E61">
        <w:t>AUC:MIC</w:t>
      </w:r>
      <w:proofErr w:type="gramEnd"/>
      <w:r w:rsidR="006A5E61">
        <w:t>-based group (P&lt;0.05).</w:t>
      </w:r>
    </w:p>
    <w:p w14:paraId="6AF0123A" w14:textId="03306F16" w:rsidR="008A7026" w:rsidRDefault="008A7026">
      <w:r w:rsidRPr="00E421EF">
        <w:rPr>
          <w:b/>
          <w:bCs/>
        </w:rPr>
        <w:t>Conclusion</w:t>
      </w:r>
      <w:r>
        <w:t>:</w:t>
      </w:r>
      <w:r w:rsidR="006A5E61">
        <w:t xml:space="preserve"> There was no statistical difference in the primary outcome of rate of AKI between the </w:t>
      </w:r>
      <w:proofErr w:type="gramStart"/>
      <w:r w:rsidR="006A5E61">
        <w:t>AUC:MIC</w:t>
      </w:r>
      <w:proofErr w:type="gramEnd"/>
      <w:r w:rsidR="006A5E61">
        <w:t xml:space="preserve"> group and the trough group, however, </w:t>
      </w:r>
      <w:r w:rsidR="00E421EF">
        <w:t>the</w:t>
      </w:r>
      <w:r w:rsidR="006A5E61">
        <w:t xml:space="preserve"> increased use of contrast dye in the AUC:MIC group</w:t>
      </w:r>
      <w:r w:rsidR="00E421EF">
        <w:t xml:space="preserve"> may confound these results</w:t>
      </w:r>
      <w:r w:rsidR="006A5E61">
        <w:t xml:space="preserve">. From a feasibility and cost perspective, </w:t>
      </w:r>
      <w:proofErr w:type="gramStart"/>
      <w:r w:rsidR="006A5E61">
        <w:t>AUC:MIC</w:t>
      </w:r>
      <w:proofErr w:type="gramEnd"/>
      <w:r w:rsidR="006A5E61">
        <w:t xml:space="preserve"> dosing was associated with more lab draws during standard times, a lower percentage of labs drawn per person, and less total use of vancomycin.</w:t>
      </w:r>
    </w:p>
    <w:sectPr w:rsidR="008A7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26"/>
    <w:rsid w:val="0040485D"/>
    <w:rsid w:val="00606BC1"/>
    <w:rsid w:val="006A5E61"/>
    <w:rsid w:val="008A7026"/>
    <w:rsid w:val="00DA2619"/>
    <w:rsid w:val="00E421EF"/>
    <w:rsid w:val="00F8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591B4"/>
  <w15:chartTrackingRefBased/>
  <w15:docId w15:val="{53B2BAB6-9708-4BD7-BA27-AF056E25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 PHILLIPS</dc:creator>
  <cp:keywords/>
  <dc:description/>
  <cp:lastModifiedBy>MORGAN S PHILLIPS</cp:lastModifiedBy>
  <cp:revision>1</cp:revision>
  <dcterms:created xsi:type="dcterms:W3CDTF">2022-05-07T00:13:00Z</dcterms:created>
  <dcterms:modified xsi:type="dcterms:W3CDTF">2022-05-07T00:45:00Z</dcterms:modified>
</cp:coreProperties>
</file>