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00BE" w14:textId="77777777" w:rsidR="00567007" w:rsidRPr="00141AF6" w:rsidRDefault="00567007" w:rsidP="007202C4">
      <w:pPr>
        <w:spacing w:after="120" w:line="240" w:lineRule="auto"/>
        <w:jc w:val="center"/>
        <w:textAlignment w:val="baseline"/>
        <w:rPr>
          <w:rFonts w:ascii="Arial" w:hAnsi="Arial" w:cs="Arial"/>
          <w:b/>
          <w:bCs/>
          <w:color w:val="000000"/>
          <w:sz w:val="24"/>
          <w:szCs w:val="24"/>
        </w:rPr>
      </w:pPr>
      <w:r w:rsidRPr="00141AF6">
        <w:rPr>
          <w:rFonts w:ascii="Arial" w:hAnsi="Arial" w:cs="Arial"/>
          <w:b/>
          <w:bCs/>
          <w:color w:val="000000"/>
          <w:sz w:val="24"/>
          <w:szCs w:val="24"/>
        </w:rPr>
        <w:t>Implementing a workflow for the use of personal continuous glucose monitors to improve diabetes control</w:t>
      </w:r>
    </w:p>
    <w:p w14:paraId="3600599B" w14:textId="77777777" w:rsidR="00567007" w:rsidRPr="00141AF6" w:rsidRDefault="00567007" w:rsidP="007202C4">
      <w:pPr>
        <w:spacing w:after="120" w:line="240" w:lineRule="auto"/>
        <w:textAlignment w:val="baseline"/>
        <w:rPr>
          <w:rFonts w:ascii="Arial" w:eastAsia="Times New Roman" w:hAnsi="Arial" w:cs="Arial"/>
          <w:sz w:val="20"/>
          <w:szCs w:val="20"/>
        </w:rPr>
      </w:pPr>
      <w:r w:rsidRPr="00141AF6">
        <w:rPr>
          <w:rFonts w:ascii="Arial" w:eastAsia="Times New Roman" w:hAnsi="Arial" w:cs="Arial"/>
          <w:color w:val="000000"/>
          <w:sz w:val="24"/>
          <w:szCs w:val="24"/>
        </w:rPr>
        <w:t> </w:t>
      </w:r>
    </w:p>
    <w:p w14:paraId="04F3F587" w14:textId="4BE663DA" w:rsidR="00141AF6" w:rsidRPr="00141AF6" w:rsidRDefault="00567007" w:rsidP="00CD69C4">
      <w:pPr>
        <w:spacing w:before="120" w:after="120" w:line="360" w:lineRule="auto"/>
        <w:textAlignment w:val="baseline"/>
        <w:rPr>
          <w:rFonts w:ascii="Arial" w:hAnsi="Arial" w:cs="Arial"/>
          <w:sz w:val="20"/>
          <w:szCs w:val="20"/>
          <w:bdr w:val="none" w:sz="0" w:space="0" w:color="auto" w:frame="1"/>
          <w:shd w:val="clear" w:color="auto" w:fill="FFFFFF"/>
        </w:rPr>
      </w:pPr>
      <w:r w:rsidRPr="00141AF6">
        <w:rPr>
          <w:rFonts w:ascii="Arial" w:hAnsi="Arial" w:cs="Arial"/>
          <w:b/>
          <w:bCs/>
          <w:sz w:val="20"/>
          <w:szCs w:val="20"/>
        </w:rPr>
        <w:t>Authors:</w:t>
      </w:r>
      <w:r w:rsidRPr="00141AF6">
        <w:rPr>
          <w:rFonts w:ascii="Arial" w:hAnsi="Arial" w:cs="Arial"/>
          <w:sz w:val="20"/>
          <w:szCs w:val="20"/>
        </w:rPr>
        <w:t xml:space="preserve"> </w:t>
      </w:r>
      <w:r w:rsidRPr="00141AF6">
        <w:rPr>
          <w:rFonts w:ascii="Arial" w:eastAsia="Times New Roman" w:hAnsi="Arial" w:cs="Arial"/>
          <w:color w:val="000000"/>
          <w:sz w:val="20"/>
          <w:szCs w:val="20"/>
        </w:rPr>
        <w:t xml:space="preserve">Tyler Pasour, PharmD, </w:t>
      </w:r>
      <w:r w:rsidRPr="00141AF6">
        <w:rPr>
          <w:rFonts w:ascii="Arial" w:hAnsi="Arial" w:cs="Arial"/>
          <w:sz w:val="20"/>
          <w:szCs w:val="20"/>
          <w:bdr w:val="none" w:sz="0" w:space="0" w:color="auto" w:frame="1"/>
          <w:shd w:val="clear" w:color="auto" w:fill="FFFFFF"/>
        </w:rPr>
        <w:t xml:space="preserve">Lindsay Sheehan, PharmD, CDCES, CPP, </w:t>
      </w:r>
      <w:r w:rsidRPr="00141AF6">
        <w:rPr>
          <w:rFonts w:ascii="Arial" w:eastAsia="Times New Roman" w:hAnsi="Arial" w:cs="Arial"/>
          <w:sz w:val="20"/>
          <w:szCs w:val="20"/>
          <w:bdr w:val="none" w:sz="0" w:space="0" w:color="auto" w:frame="1"/>
        </w:rPr>
        <w:t xml:space="preserve">Maeghan Moss, PharmD, BCACP, CDCES, CPP, </w:t>
      </w:r>
      <w:r w:rsidRPr="00141AF6">
        <w:rPr>
          <w:rFonts w:ascii="Arial" w:hAnsi="Arial" w:cs="Arial"/>
          <w:sz w:val="20"/>
          <w:szCs w:val="20"/>
          <w:shd w:val="clear" w:color="auto" w:fill="FFFFFF"/>
        </w:rPr>
        <w:t>Meg </w:t>
      </w:r>
      <w:r w:rsidRPr="00141AF6">
        <w:rPr>
          <w:rStyle w:val="marky2wpxvi8i"/>
          <w:rFonts w:ascii="Arial" w:hAnsi="Arial" w:cs="Arial"/>
          <w:sz w:val="20"/>
          <w:szCs w:val="20"/>
          <w:bdr w:val="none" w:sz="0" w:space="0" w:color="auto" w:frame="1"/>
          <w:shd w:val="clear" w:color="auto" w:fill="FFFFFF"/>
        </w:rPr>
        <w:t>Conger</w:t>
      </w:r>
      <w:r w:rsidRPr="00141AF6">
        <w:rPr>
          <w:rFonts w:ascii="Arial" w:hAnsi="Arial" w:cs="Arial"/>
          <w:sz w:val="20"/>
          <w:szCs w:val="20"/>
          <w:shd w:val="clear" w:color="auto" w:fill="FFFFFF"/>
        </w:rPr>
        <w:t>, PharmD, CPP, BCACP</w:t>
      </w:r>
      <w:r w:rsidRPr="00141AF6">
        <w:rPr>
          <w:rFonts w:ascii="Arial" w:hAnsi="Arial" w:cs="Arial"/>
          <w:sz w:val="20"/>
          <w:szCs w:val="20"/>
          <w:bdr w:val="none" w:sz="0" w:space="0" w:color="auto" w:frame="1"/>
          <w:shd w:val="clear" w:color="auto" w:fill="FFFFFF"/>
        </w:rPr>
        <w:t>, Paige </w:t>
      </w:r>
      <w:r w:rsidRPr="00141AF6">
        <w:rPr>
          <w:rStyle w:val="markxda6zxpgw"/>
          <w:rFonts w:ascii="Arial" w:hAnsi="Arial" w:cs="Arial"/>
          <w:sz w:val="20"/>
          <w:szCs w:val="20"/>
          <w:bdr w:val="none" w:sz="0" w:space="0" w:color="auto" w:frame="1"/>
          <w:shd w:val="clear" w:color="auto" w:fill="FFFFFF"/>
        </w:rPr>
        <w:t>Carson</w:t>
      </w:r>
      <w:r w:rsidRPr="00141AF6">
        <w:rPr>
          <w:rFonts w:ascii="Arial" w:hAnsi="Arial" w:cs="Arial"/>
          <w:sz w:val="20"/>
          <w:szCs w:val="20"/>
          <w:bdr w:val="none" w:sz="0" w:space="0" w:color="auto" w:frame="1"/>
          <w:shd w:val="clear" w:color="auto" w:fill="FFFFFF"/>
        </w:rPr>
        <w:t>, PharmD, CDCES, BCPS, CPP</w:t>
      </w:r>
    </w:p>
    <w:p w14:paraId="268973F4" w14:textId="60917284" w:rsidR="00141AF6" w:rsidRPr="00141AF6" w:rsidRDefault="00567007" w:rsidP="00CD69C4">
      <w:pPr>
        <w:spacing w:before="120" w:after="120" w:line="360" w:lineRule="auto"/>
        <w:rPr>
          <w:rFonts w:ascii="Arial" w:hAnsi="Arial" w:cs="Arial"/>
          <w:sz w:val="20"/>
          <w:szCs w:val="20"/>
        </w:rPr>
      </w:pPr>
      <w:r w:rsidRPr="00141AF6">
        <w:rPr>
          <w:rFonts w:ascii="Arial" w:hAnsi="Arial" w:cs="Arial"/>
          <w:b/>
          <w:bCs/>
          <w:sz w:val="20"/>
          <w:szCs w:val="20"/>
        </w:rPr>
        <w:t>Practice Site:</w:t>
      </w:r>
      <w:r w:rsidRPr="00141AF6">
        <w:rPr>
          <w:rFonts w:ascii="Arial" w:hAnsi="Arial" w:cs="Arial"/>
          <w:sz w:val="20"/>
          <w:szCs w:val="20"/>
        </w:rPr>
        <w:t xml:space="preserve"> Atrium Health; </w:t>
      </w:r>
      <w:r w:rsidRPr="00141AF6">
        <w:rPr>
          <w:rFonts w:ascii="Arial" w:eastAsia="Times New Roman" w:hAnsi="Arial" w:cs="Arial"/>
          <w:sz w:val="20"/>
          <w:szCs w:val="20"/>
        </w:rPr>
        <w:t>North Charlotte Medical Specialists</w:t>
      </w:r>
      <w:r w:rsidRPr="00141AF6">
        <w:rPr>
          <w:rFonts w:ascii="Arial" w:hAnsi="Arial" w:cs="Arial"/>
          <w:sz w:val="20"/>
          <w:szCs w:val="20"/>
        </w:rPr>
        <w:t xml:space="preserve"> - Huntersville, NC</w:t>
      </w:r>
    </w:p>
    <w:p w14:paraId="5FDFF3E4" w14:textId="683E8B57" w:rsidR="00567007" w:rsidRPr="007202C4" w:rsidRDefault="00567007" w:rsidP="00CD69C4">
      <w:pPr>
        <w:spacing w:before="120" w:after="120" w:line="360" w:lineRule="auto"/>
        <w:textAlignment w:val="baseline"/>
        <w:rPr>
          <w:rFonts w:ascii="Arial" w:eastAsia="Times New Roman" w:hAnsi="Arial" w:cs="Arial"/>
          <w:color w:val="000000"/>
          <w:sz w:val="20"/>
          <w:szCs w:val="20"/>
        </w:rPr>
      </w:pPr>
      <w:r w:rsidRPr="00141AF6">
        <w:rPr>
          <w:rFonts w:ascii="Arial" w:hAnsi="Arial" w:cs="Arial"/>
          <w:b/>
          <w:bCs/>
          <w:sz w:val="20"/>
          <w:szCs w:val="20"/>
        </w:rPr>
        <w:t>Background:</w:t>
      </w:r>
      <w:r w:rsidRPr="00141AF6">
        <w:rPr>
          <w:rFonts w:ascii="Arial" w:hAnsi="Arial" w:cs="Arial"/>
          <w:sz w:val="20"/>
          <w:szCs w:val="20"/>
        </w:rPr>
        <w:t xml:space="preserve"> </w:t>
      </w:r>
      <w:r w:rsidRPr="00141AF6">
        <w:rPr>
          <w:rFonts w:ascii="Arial" w:eastAsia="Times New Roman" w:hAnsi="Arial" w:cs="Arial"/>
          <w:color w:val="000000"/>
          <w:sz w:val="20"/>
          <w:szCs w:val="20"/>
        </w:rPr>
        <w:t>The use of personal continuous glucose monitors (CGMs) in patients with diabetes has increased significantly and is expected to continue to increase as CGMs become more affordable and insurance plans improve coverage. The utilization of CGMs has shown to improve diabetes control and minimize hypoglycemic events. CGMs provide substantial benefit to patients with transient blood glucose control, hypoglycemia, or those learning how foods, exercise, and other factors are affecting their blood glucose control</w:t>
      </w:r>
      <w:r w:rsidR="00141AF6">
        <w:rPr>
          <w:rFonts w:ascii="Arial" w:eastAsia="Times New Roman" w:hAnsi="Arial" w:cs="Arial"/>
          <w:color w:val="000000"/>
          <w:sz w:val="20"/>
          <w:szCs w:val="20"/>
        </w:rPr>
        <w:t>.</w:t>
      </w:r>
      <w:r w:rsidRPr="00141AF6">
        <w:rPr>
          <w:rFonts w:ascii="Arial" w:eastAsia="Times New Roman" w:hAnsi="Arial" w:cs="Arial"/>
          <w:color w:val="000000"/>
          <w:sz w:val="20"/>
          <w:szCs w:val="20"/>
        </w:rPr>
        <w:t xml:space="preserve"> In recent literature, the utilization of CGMs has shown to improve glycated hemoglobin A1c (A1c) in patients with Type I and Type II diabetes. Patients who use CGMs are more likely to improve their time in target blood glucose range, while also minimizing their time below the target range</w:t>
      </w:r>
      <w:r w:rsidR="00141AF6">
        <w:rPr>
          <w:rFonts w:ascii="Arial" w:eastAsia="Times New Roman" w:hAnsi="Arial" w:cs="Arial"/>
          <w:color w:val="000000"/>
          <w:sz w:val="20"/>
          <w:szCs w:val="20"/>
        </w:rPr>
        <w:t>.</w:t>
      </w:r>
      <w:r w:rsidRPr="00141AF6">
        <w:rPr>
          <w:rFonts w:ascii="Arial" w:eastAsia="Times New Roman" w:hAnsi="Arial" w:cs="Arial"/>
          <w:color w:val="000000"/>
          <w:sz w:val="20"/>
          <w:szCs w:val="20"/>
          <w:vertAlign w:val="superscript"/>
        </w:rPr>
        <w:t xml:space="preserve"> </w:t>
      </w:r>
      <w:r w:rsidRPr="00141AF6">
        <w:rPr>
          <w:rFonts w:ascii="Arial" w:eastAsia="Times New Roman" w:hAnsi="Arial" w:cs="Arial"/>
          <w:color w:val="000000"/>
          <w:sz w:val="20"/>
          <w:szCs w:val="20"/>
        </w:rPr>
        <w:t>The available data signifies that use of CGMs improves diabetes control and minimizes the risk for hypoglycemic events. Despite the</w:t>
      </w:r>
      <w:r w:rsidR="007202C4">
        <w:rPr>
          <w:rFonts w:ascii="Arial" w:eastAsia="Times New Roman" w:hAnsi="Arial" w:cs="Arial"/>
          <w:color w:val="000000"/>
          <w:sz w:val="20"/>
          <w:szCs w:val="20"/>
        </w:rPr>
        <w:t>ir</w:t>
      </w:r>
      <w:r w:rsidRPr="00141AF6">
        <w:rPr>
          <w:rFonts w:ascii="Arial" w:eastAsia="Times New Roman" w:hAnsi="Arial" w:cs="Arial"/>
          <w:color w:val="000000"/>
          <w:sz w:val="20"/>
          <w:szCs w:val="20"/>
        </w:rPr>
        <w:t xml:space="preserve"> increased use, follow up with patients who utilize personal CGMs is a challenge in primary care settings. The lack of personnel to download and interpret results combined with the lack of time to review results creates challenges to maximize the benefits of CGM therapy and implement indicated medication changes. </w:t>
      </w:r>
    </w:p>
    <w:p w14:paraId="618B1FB8" w14:textId="708485E8" w:rsidR="00567007" w:rsidRPr="00141AF6" w:rsidRDefault="00567007" w:rsidP="00CD69C4">
      <w:pPr>
        <w:spacing w:before="120" w:after="120" w:line="360" w:lineRule="auto"/>
        <w:textAlignment w:val="baseline"/>
        <w:rPr>
          <w:rFonts w:ascii="Arial" w:hAnsi="Arial" w:cs="Arial"/>
          <w:color w:val="000000"/>
          <w:sz w:val="20"/>
          <w:szCs w:val="20"/>
        </w:rPr>
      </w:pPr>
      <w:r w:rsidRPr="00141AF6">
        <w:rPr>
          <w:rFonts w:ascii="Arial" w:hAnsi="Arial" w:cs="Arial"/>
          <w:b/>
          <w:bCs/>
          <w:sz w:val="20"/>
          <w:szCs w:val="20"/>
        </w:rPr>
        <w:t>Objective</w:t>
      </w:r>
      <w:r w:rsidR="007202C4">
        <w:rPr>
          <w:rFonts w:ascii="Arial" w:hAnsi="Arial" w:cs="Arial"/>
          <w:b/>
          <w:bCs/>
          <w:sz w:val="20"/>
          <w:szCs w:val="20"/>
        </w:rPr>
        <w:t>:</w:t>
      </w:r>
      <w:r w:rsidRPr="00141AF6">
        <w:rPr>
          <w:rFonts w:ascii="Arial" w:hAnsi="Arial" w:cs="Arial"/>
          <w:color w:val="000000"/>
          <w:sz w:val="20"/>
          <w:szCs w:val="20"/>
        </w:rPr>
        <w:t xml:space="preserve"> The primary objective of this project </w:t>
      </w:r>
      <w:r w:rsidR="00EE7AA8">
        <w:rPr>
          <w:rFonts w:ascii="Arial" w:hAnsi="Arial" w:cs="Arial"/>
          <w:color w:val="000000"/>
          <w:sz w:val="20"/>
          <w:szCs w:val="20"/>
        </w:rPr>
        <w:t>was</w:t>
      </w:r>
      <w:r w:rsidRPr="00141AF6">
        <w:rPr>
          <w:rFonts w:ascii="Arial" w:hAnsi="Arial" w:cs="Arial"/>
          <w:color w:val="000000"/>
          <w:sz w:val="20"/>
          <w:szCs w:val="20"/>
        </w:rPr>
        <w:t xml:space="preserve"> to create and implement a </w:t>
      </w:r>
      <w:r w:rsidR="007715DB">
        <w:rPr>
          <w:rFonts w:ascii="Arial" w:hAnsi="Arial" w:cs="Arial"/>
          <w:color w:val="000000"/>
          <w:sz w:val="20"/>
          <w:szCs w:val="20"/>
        </w:rPr>
        <w:t xml:space="preserve">sustainable </w:t>
      </w:r>
      <w:r w:rsidRPr="00141AF6">
        <w:rPr>
          <w:rFonts w:ascii="Arial" w:hAnsi="Arial" w:cs="Arial"/>
          <w:color w:val="000000"/>
          <w:sz w:val="20"/>
          <w:szCs w:val="20"/>
        </w:rPr>
        <w:t>workflow for enhanced CGM use within the primary care clinic to improve diabetes control and outcomes. This workflow will include scheduling patient’s follow up, obtaining and reviewing CGM data with the pharmacist and implementing any indicated therapy changes</w:t>
      </w:r>
      <w:r w:rsidR="009A09DE" w:rsidRPr="00141AF6">
        <w:rPr>
          <w:rFonts w:ascii="Arial" w:hAnsi="Arial" w:cs="Arial"/>
          <w:color w:val="000000"/>
          <w:sz w:val="20"/>
          <w:szCs w:val="20"/>
        </w:rPr>
        <w:t>.</w:t>
      </w:r>
    </w:p>
    <w:p w14:paraId="0B06F84C" w14:textId="30025B11" w:rsidR="00141AF6" w:rsidRPr="00EC2AA9" w:rsidRDefault="00567007" w:rsidP="00EC2AA9">
      <w:pPr>
        <w:spacing w:before="120" w:after="120" w:line="360" w:lineRule="auto"/>
        <w:rPr>
          <w:rFonts w:ascii="Arial" w:hAnsi="Arial" w:cs="Arial"/>
          <w:b/>
          <w:bCs/>
          <w:sz w:val="20"/>
          <w:szCs w:val="20"/>
        </w:rPr>
      </w:pPr>
      <w:r w:rsidRPr="00141AF6">
        <w:rPr>
          <w:rFonts w:ascii="Arial" w:hAnsi="Arial" w:cs="Arial"/>
          <w:b/>
          <w:bCs/>
          <w:sz w:val="20"/>
          <w:szCs w:val="20"/>
        </w:rPr>
        <w:t>Methods:</w:t>
      </w:r>
      <w:r w:rsidRPr="00141AF6">
        <w:rPr>
          <w:rFonts w:ascii="Arial" w:hAnsi="Arial" w:cs="Arial"/>
          <w:sz w:val="20"/>
          <w:szCs w:val="20"/>
        </w:rPr>
        <w:t xml:space="preserve"> This was a prospective, IRB approved, investigator-initiated, pilot quality improvement project conducted in an internal medicine clinic in </w:t>
      </w:r>
      <w:r w:rsidR="00766803">
        <w:rPr>
          <w:rFonts w:ascii="Arial" w:hAnsi="Arial" w:cs="Arial"/>
          <w:sz w:val="20"/>
          <w:szCs w:val="20"/>
        </w:rPr>
        <w:t xml:space="preserve">Huntersville, </w:t>
      </w:r>
      <w:r w:rsidRPr="00141AF6">
        <w:rPr>
          <w:rFonts w:ascii="Arial" w:hAnsi="Arial" w:cs="Arial"/>
          <w:sz w:val="20"/>
          <w:szCs w:val="20"/>
        </w:rPr>
        <w:t xml:space="preserve">North Carolina. A list of patients currently utilizing personal CGMs was generated by the pharmacist of the practice. </w:t>
      </w:r>
      <w:r w:rsidR="00A9279C" w:rsidRPr="00141AF6">
        <w:rPr>
          <w:rFonts w:ascii="Arial" w:hAnsi="Arial" w:cs="Arial"/>
          <w:sz w:val="20"/>
          <w:szCs w:val="20"/>
        </w:rPr>
        <w:t>Patients were included if they had a diagnosis of diabetes, utilized a personal CGM. Patients were excluded if they transferred care, did not maintain at least one follow up appointment, enrolled after March 1, 2022</w:t>
      </w:r>
      <w:r w:rsidR="000A2C63">
        <w:rPr>
          <w:rFonts w:ascii="Arial" w:hAnsi="Arial" w:cs="Arial"/>
          <w:sz w:val="20"/>
          <w:szCs w:val="20"/>
        </w:rPr>
        <w:t xml:space="preserve">. Patients were excluded from analysis if they were </w:t>
      </w:r>
      <w:r w:rsidR="00A9279C" w:rsidRPr="00141AF6">
        <w:rPr>
          <w:rFonts w:ascii="Arial" w:hAnsi="Arial" w:cs="Arial"/>
          <w:sz w:val="20"/>
          <w:szCs w:val="20"/>
        </w:rPr>
        <w:t>unable to obtain final labs.</w:t>
      </w:r>
      <w:r w:rsidR="00A9279C">
        <w:rPr>
          <w:rFonts w:ascii="Arial" w:hAnsi="Arial" w:cs="Arial"/>
          <w:sz w:val="20"/>
          <w:szCs w:val="20"/>
        </w:rPr>
        <w:t xml:space="preserve"> </w:t>
      </w:r>
      <w:r w:rsidR="00A9279C" w:rsidRPr="00141AF6">
        <w:rPr>
          <w:rFonts w:ascii="Arial" w:hAnsi="Arial" w:cs="Arial"/>
          <w:sz w:val="20"/>
          <w:szCs w:val="20"/>
        </w:rPr>
        <w:t xml:space="preserve">Enrolled patients were to maintain routine follow up for CGM download appointments. </w:t>
      </w:r>
      <w:r w:rsidRPr="00141AF6">
        <w:rPr>
          <w:rFonts w:ascii="Arial" w:hAnsi="Arial" w:cs="Arial"/>
          <w:sz w:val="20"/>
          <w:szCs w:val="20"/>
        </w:rPr>
        <w:t xml:space="preserve">The patient’s electronic medical records via Canopy-Powerchart </w:t>
      </w:r>
      <w:r w:rsidR="009A09DE" w:rsidRPr="00141AF6">
        <w:rPr>
          <w:rFonts w:ascii="Arial" w:hAnsi="Arial" w:cs="Arial"/>
          <w:sz w:val="20"/>
          <w:szCs w:val="20"/>
        </w:rPr>
        <w:t>were</w:t>
      </w:r>
      <w:r w:rsidRPr="00141AF6">
        <w:rPr>
          <w:rFonts w:ascii="Arial" w:hAnsi="Arial" w:cs="Arial"/>
          <w:sz w:val="20"/>
          <w:szCs w:val="20"/>
        </w:rPr>
        <w:t xml:space="preserve"> utilized to gather pertinent information. Data from six months prior to study start was collected, and all patients meeting the inclusion criteria were </w:t>
      </w:r>
      <w:r w:rsidR="004E14D3">
        <w:rPr>
          <w:rFonts w:ascii="Arial" w:hAnsi="Arial" w:cs="Arial"/>
          <w:sz w:val="20"/>
          <w:szCs w:val="20"/>
        </w:rPr>
        <w:t xml:space="preserve">included </w:t>
      </w:r>
      <w:r w:rsidRPr="00141AF6">
        <w:rPr>
          <w:rFonts w:ascii="Arial" w:hAnsi="Arial" w:cs="Arial"/>
          <w:sz w:val="20"/>
          <w:szCs w:val="20"/>
        </w:rPr>
        <w:t>within the study. Patients were followed for six months of project implementation. Data</w:t>
      </w:r>
      <w:r w:rsidR="009A09DE" w:rsidRPr="00141AF6">
        <w:rPr>
          <w:rFonts w:ascii="Arial" w:hAnsi="Arial" w:cs="Arial"/>
          <w:sz w:val="20"/>
          <w:szCs w:val="20"/>
        </w:rPr>
        <w:t xml:space="preserve"> was</w:t>
      </w:r>
      <w:r w:rsidRPr="00141AF6">
        <w:rPr>
          <w:rFonts w:ascii="Arial" w:hAnsi="Arial" w:cs="Arial"/>
          <w:sz w:val="20"/>
          <w:szCs w:val="20"/>
        </w:rPr>
        <w:t xml:space="preserve"> collected and stored on a secure server with de-identified information for analysis. Data </w:t>
      </w:r>
      <w:r w:rsidR="009A09DE" w:rsidRPr="00141AF6">
        <w:rPr>
          <w:rFonts w:ascii="Arial" w:hAnsi="Arial" w:cs="Arial"/>
          <w:sz w:val="20"/>
          <w:szCs w:val="20"/>
        </w:rPr>
        <w:t>was</w:t>
      </w:r>
      <w:r w:rsidRPr="00141AF6">
        <w:rPr>
          <w:rFonts w:ascii="Arial" w:hAnsi="Arial" w:cs="Arial"/>
          <w:sz w:val="20"/>
          <w:szCs w:val="20"/>
        </w:rPr>
        <w:t xml:space="preserve"> analyzed through REDcap database.</w:t>
      </w:r>
      <w:r w:rsidR="009A09DE" w:rsidRPr="00141AF6">
        <w:rPr>
          <w:rFonts w:ascii="Arial" w:hAnsi="Arial" w:cs="Arial"/>
          <w:sz w:val="20"/>
          <w:szCs w:val="20"/>
        </w:rPr>
        <w:t xml:space="preserve"> </w:t>
      </w:r>
      <w:r w:rsidR="00EC2AA9">
        <w:rPr>
          <w:rFonts w:ascii="Arial" w:hAnsi="Arial" w:cs="Arial"/>
          <w:sz w:val="20"/>
          <w:szCs w:val="20"/>
        </w:rPr>
        <w:t>Background information collected included, a</w:t>
      </w:r>
      <w:r w:rsidR="00EC2AA9" w:rsidRPr="00EC2AA9">
        <w:rPr>
          <w:rFonts w:ascii="Arial" w:hAnsi="Arial" w:cs="Arial"/>
          <w:sz w:val="20"/>
          <w:szCs w:val="20"/>
        </w:rPr>
        <w:t>ge</w:t>
      </w:r>
      <w:r w:rsidR="00EC2AA9">
        <w:rPr>
          <w:rFonts w:ascii="Arial" w:hAnsi="Arial" w:cs="Arial"/>
          <w:sz w:val="20"/>
          <w:szCs w:val="20"/>
        </w:rPr>
        <w:t xml:space="preserve">, personal CGM utilized, diabetes medication regimen, diabetes related hospitalizations, and </w:t>
      </w:r>
      <w:r w:rsidR="00EC2AA9">
        <w:rPr>
          <w:rFonts w:ascii="Arial" w:hAnsi="Arial" w:cs="Arial"/>
          <w:sz w:val="20"/>
          <w:szCs w:val="20"/>
        </w:rPr>
        <w:lastRenderedPageBreak/>
        <w:t>A1c prior to implementation</w:t>
      </w:r>
      <w:r w:rsidR="00780D95">
        <w:rPr>
          <w:rFonts w:ascii="Arial" w:hAnsi="Arial" w:cs="Arial"/>
          <w:sz w:val="20"/>
          <w:szCs w:val="20"/>
        </w:rPr>
        <w:t xml:space="preserve"> of new workflow</w:t>
      </w:r>
      <w:r w:rsidR="00EC2AA9">
        <w:rPr>
          <w:rFonts w:ascii="Arial" w:hAnsi="Arial" w:cs="Arial"/>
          <w:sz w:val="20"/>
          <w:szCs w:val="20"/>
        </w:rPr>
        <w:t>.</w:t>
      </w:r>
      <w:r w:rsidR="00EC2AA9">
        <w:rPr>
          <w:rFonts w:ascii="Arial" w:hAnsi="Arial" w:cs="Arial"/>
          <w:b/>
          <w:bCs/>
          <w:sz w:val="20"/>
          <w:szCs w:val="20"/>
        </w:rPr>
        <w:t xml:space="preserve"> </w:t>
      </w:r>
      <w:r w:rsidR="009A09DE" w:rsidRPr="00141AF6">
        <w:rPr>
          <w:rFonts w:ascii="Arial" w:hAnsi="Arial" w:cs="Arial"/>
          <w:sz w:val="20"/>
          <w:szCs w:val="20"/>
        </w:rPr>
        <w:t>Encounters were conducted via in person or via telephone</w:t>
      </w:r>
      <w:r w:rsidR="00A41417">
        <w:rPr>
          <w:rFonts w:ascii="Arial" w:hAnsi="Arial" w:cs="Arial"/>
          <w:sz w:val="20"/>
          <w:szCs w:val="20"/>
        </w:rPr>
        <w:t xml:space="preserve"> by PharmD or PharmD resident</w:t>
      </w:r>
      <w:r w:rsidR="009A09DE" w:rsidRPr="00141AF6">
        <w:rPr>
          <w:rFonts w:ascii="Arial" w:hAnsi="Arial" w:cs="Arial"/>
          <w:sz w:val="20"/>
          <w:szCs w:val="20"/>
        </w:rPr>
        <w:t xml:space="preserve">. At each encounter, patient’s CGM data was downloaded and interpreted. </w:t>
      </w:r>
      <w:r w:rsidR="009A09DE" w:rsidRPr="00141AF6">
        <w:rPr>
          <w:rFonts w:ascii="Arial" w:hAnsi="Arial" w:cs="Arial"/>
          <w:color w:val="000000"/>
          <w:sz w:val="20"/>
          <w:szCs w:val="20"/>
        </w:rPr>
        <w:t>Medication changes were made under the existing Clinical Pharmacist Practitioner (CPP) agreement between the pharmacist and the provider. To create a sustainable process, billing for interpretation and teaching of CGMs w</w:t>
      </w:r>
      <w:r w:rsidR="007110AE">
        <w:rPr>
          <w:rFonts w:ascii="Arial" w:hAnsi="Arial" w:cs="Arial"/>
          <w:color w:val="000000"/>
          <w:sz w:val="20"/>
          <w:szCs w:val="20"/>
        </w:rPr>
        <w:t>as</w:t>
      </w:r>
      <w:r w:rsidR="009A09DE" w:rsidRPr="00141AF6">
        <w:rPr>
          <w:rFonts w:ascii="Arial" w:hAnsi="Arial" w:cs="Arial"/>
          <w:color w:val="000000"/>
          <w:sz w:val="20"/>
          <w:szCs w:val="20"/>
        </w:rPr>
        <w:t xml:space="preserve"> implemented into the CGM workflow.</w:t>
      </w:r>
      <w:r w:rsidR="00766803">
        <w:rPr>
          <w:rFonts w:ascii="Arial" w:hAnsi="Arial" w:cs="Arial"/>
          <w:color w:val="000000"/>
          <w:sz w:val="20"/>
          <w:szCs w:val="20"/>
        </w:rPr>
        <w:t xml:space="preserve"> The primary outcome was the change in mean A1c. </w:t>
      </w:r>
      <w:r w:rsidR="00766803" w:rsidRPr="00766803">
        <w:rPr>
          <w:rFonts w:ascii="Arial" w:hAnsi="Arial" w:cs="Arial"/>
          <w:color w:val="000000"/>
          <w:sz w:val="20"/>
          <w:szCs w:val="20"/>
        </w:rPr>
        <w:t>Student paired T-test was used to determine statistical significance of the primary outcome</w:t>
      </w:r>
      <w:r w:rsidR="00766803">
        <w:rPr>
          <w:rFonts w:ascii="Arial" w:hAnsi="Arial" w:cs="Arial"/>
          <w:color w:val="000000"/>
          <w:sz w:val="20"/>
          <w:szCs w:val="20"/>
        </w:rPr>
        <w:t>. Secondary outcomes included c</w:t>
      </w:r>
      <w:r w:rsidR="00766803" w:rsidRPr="00766803">
        <w:rPr>
          <w:rFonts w:ascii="Arial" w:hAnsi="Arial" w:cs="Arial"/>
          <w:color w:val="000000"/>
          <w:sz w:val="20"/>
          <w:szCs w:val="20"/>
        </w:rPr>
        <w:t>hange in</w:t>
      </w:r>
      <w:r w:rsidR="00944343">
        <w:rPr>
          <w:rFonts w:ascii="Arial" w:hAnsi="Arial" w:cs="Arial"/>
          <w:color w:val="000000"/>
          <w:sz w:val="20"/>
          <w:szCs w:val="20"/>
        </w:rPr>
        <w:t xml:space="preserve"> diabetes related</w:t>
      </w:r>
      <w:r w:rsidR="00766803" w:rsidRPr="00766803">
        <w:rPr>
          <w:rFonts w:ascii="Arial" w:hAnsi="Arial" w:cs="Arial"/>
          <w:color w:val="000000"/>
          <w:sz w:val="20"/>
          <w:szCs w:val="20"/>
        </w:rPr>
        <w:t xml:space="preserve"> hospitalization rate</w:t>
      </w:r>
      <w:r w:rsidR="00766803">
        <w:rPr>
          <w:rFonts w:ascii="Arial" w:hAnsi="Arial" w:cs="Arial"/>
          <w:color w:val="000000"/>
          <w:sz w:val="20"/>
          <w:szCs w:val="20"/>
        </w:rPr>
        <w:t>, m</w:t>
      </w:r>
      <w:r w:rsidR="00766803" w:rsidRPr="00766803">
        <w:rPr>
          <w:rFonts w:ascii="Arial" w:hAnsi="Arial" w:cs="Arial"/>
          <w:color w:val="000000"/>
          <w:sz w:val="20"/>
          <w:szCs w:val="20"/>
        </w:rPr>
        <w:t xml:space="preserve">edication </w:t>
      </w:r>
      <w:r w:rsidR="00766803">
        <w:rPr>
          <w:rFonts w:ascii="Arial" w:hAnsi="Arial" w:cs="Arial"/>
          <w:color w:val="000000"/>
          <w:sz w:val="20"/>
          <w:szCs w:val="20"/>
        </w:rPr>
        <w:t>c</w:t>
      </w:r>
      <w:r w:rsidR="00766803" w:rsidRPr="00766803">
        <w:rPr>
          <w:rFonts w:ascii="Arial" w:hAnsi="Arial" w:cs="Arial"/>
          <w:color w:val="000000"/>
          <w:sz w:val="20"/>
          <w:szCs w:val="20"/>
        </w:rPr>
        <w:t xml:space="preserve">hanges </w:t>
      </w:r>
      <w:r w:rsidR="00766803">
        <w:rPr>
          <w:rFonts w:ascii="Arial" w:hAnsi="Arial" w:cs="Arial"/>
          <w:color w:val="000000"/>
          <w:sz w:val="20"/>
          <w:szCs w:val="20"/>
        </w:rPr>
        <w:t>i</w:t>
      </w:r>
      <w:r w:rsidR="00766803" w:rsidRPr="00766803">
        <w:rPr>
          <w:rFonts w:ascii="Arial" w:hAnsi="Arial" w:cs="Arial"/>
          <w:color w:val="000000"/>
          <w:sz w:val="20"/>
          <w:szCs w:val="20"/>
        </w:rPr>
        <w:t>mplemented</w:t>
      </w:r>
      <w:r w:rsidR="00766803">
        <w:rPr>
          <w:rFonts w:ascii="Arial" w:hAnsi="Arial" w:cs="Arial"/>
          <w:color w:val="000000"/>
          <w:sz w:val="20"/>
          <w:szCs w:val="20"/>
        </w:rPr>
        <w:t xml:space="preserve">, </w:t>
      </w:r>
      <w:r w:rsidR="00B66E6C">
        <w:rPr>
          <w:rFonts w:ascii="Arial" w:hAnsi="Arial" w:cs="Arial"/>
          <w:color w:val="000000"/>
          <w:sz w:val="20"/>
          <w:szCs w:val="20"/>
        </w:rPr>
        <w:t xml:space="preserve">number of </w:t>
      </w:r>
      <w:r w:rsidR="00766803">
        <w:rPr>
          <w:rFonts w:ascii="Arial" w:hAnsi="Arial" w:cs="Arial"/>
          <w:color w:val="000000"/>
          <w:sz w:val="20"/>
          <w:szCs w:val="20"/>
        </w:rPr>
        <w:t>b</w:t>
      </w:r>
      <w:r w:rsidR="00766803" w:rsidRPr="00766803">
        <w:rPr>
          <w:rFonts w:ascii="Arial" w:hAnsi="Arial" w:cs="Arial"/>
          <w:color w:val="000000"/>
          <w:sz w:val="20"/>
          <w:szCs w:val="20"/>
        </w:rPr>
        <w:t>illed 95251 charges</w:t>
      </w:r>
      <w:r w:rsidR="00766803">
        <w:rPr>
          <w:rFonts w:ascii="Arial" w:hAnsi="Arial" w:cs="Arial"/>
          <w:color w:val="000000"/>
          <w:sz w:val="20"/>
          <w:szCs w:val="20"/>
        </w:rPr>
        <w:t>, a</w:t>
      </w:r>
      <w:r w:rsidR="00766803" w:rsidRPr="00766803">
        <w:rPr>
          <w:rFonts w:ascii="Arial" w:hAnsi="Arial" w:cs="Arial"/>
          <w:color w:val="000000"/>
          <w:sz w:val="20"/>
          <w:szCs w:val="20"/>
        </w:rPr>
        <w:t>mount billed by clinic</w:t>
      </w:r>
      <w:r w:rsidR="00766803">
        <w:rPr>
          <w:rFonts w:ascii="Arial" w:hAnsi="Arial" w:cs="Arial"/>
          <w:color w:val="000000"/>
          <w:sz w:val="20"/>
          <w:szCs w:val="20"/>
        </w:rPr>
        <w:t>, p</w:t>
      </w:r>
      <w:r w:rsidR="00766803" w:rsidRPr="00766803">
        <w:rPr>
          <w:rFonts w:ascii="Arial" w:hAnsi="Arial" w:cs="Arial"/>
          <w:color w:val="000000"/>
          <w:sz w:val="20"/>
          <w:szCs w:val="20"/>
        </w:rPr>
        <w:t>rovider</w:t>
      </w:r>
      <w:r w:rsidR="001E6E4D" w:rsidRPr="001E6E4D">
        <w:t xml:space="preserve"> </w:t>
      </w:r>
      <w:r w:rsidR="001E6E4D">
        <w:rPr>
          <w:rFonts w:ascii="Arial" w:hAnsi="Arial" w:cs="Arial"/>
          <w:color w:val="000000"/>
          <w:sz w:val="20"/>
          <w:szCs w:val="20"/>
        </w:rPr>
        <w:t>r</w:t>
      </w:r>
      <w:r w:rsidR="001E6E4D" w:rsidRPr="001E6E4D">
        <w:rPr>
          <w:rFonts w:ascii="Arial" w:hAnsi="Arial" w:cs="Arial"/>
          <w:color w:val="000000"/>
          <w:sz w:val="20"/>
          <w:szCs w:val="20"/>
        </w:rPr>
        <w:t>elative value units</w:t>
      </w:r>
      <w:r w:rsidR="00766803" w:rsidRPr="00766803">
        <w:rPr>
          <w:rFonts w:ascii="Arial" w:hAnsi="Arial" w:cs="Arial"/>
          <w:color w:val="000000"/>
          <w:sz w:val="20"/>
          <w:szCs w:val="20"/>
        </w:rPr>
        <w:t xml:space="preserve"> </w:t>
      </w:r>
      <w:r w:rsidR="001E6E4D">
        <w:rPr>
          <w:rFonts w:ascii="Arial" w:hAnsi="Arial" w:cs="Arial"/>
          <w:color w:val="000000"/>
          <w:sz w:val="20"/>
          <w:szCs w:val="20"/>
        </w:rPr>
        <w:t>(</w:t>
      </w:r>
      <w:r w:rsidR="00766803" w:rsidRPr="00766803">
        <w:rPr>
          <w:rFonts w:ascii="Arial" w:hAnsi="Arial" w:cs="Arial"/>
          <w:color w:val="000000"/>
          <w:sz w:val="20"/>
          <w:szCs w:val="20"/>
        </w:rPr>
        <w:t>RVUs</w:t>
      </w:r>
      <w:r w:rsidR="001E6E4D">
        <w:rPr>
          <w:rFonts w:ascii="Arial" w:hAnsi="Arial" w:cs="Arial"/>
          <w:color w:val="000000"/>
          <w:sz w:val="20"/>
          <w:szCs w:val="20"/>
        </w:rPr>
        <w:t>)</w:t>
      </w:r>
      <w:r w:rsidR="00766803" w:rsidRPr="00766803">
        <w:rPr>
          <w:rFonts w:ascii="Arial" w:hAnsi="Arial" w:cs="Arial"/>
          <w:color w:val="000000"/>
          <w:sz w:val="20"/>
          <w:szCs w:val="20"/>
        </w:rPr>
        <w:t xml:space="preserve"> generated</w:t>
      </w:r>
      <w:r w:rsidR="00766803">
        <w:rPr>
          <w:rFonts w:ascii="Arial" w:hAnsi="Arial" w:cs="Arial"/>
          <w:color w:val="000000"/>
          <w:sz w:val="20"/>
          <w:szCs w:val="20"/>
        </w:rPr>
        <w:t>, t</w:t>
      </w:r>
      <w:r w:rsidR="00766803" w:rsidRPr="00766803">
        <w:rPr>
          <w:rFonts w:ascii="Arial" w:hAnsi="Arial" w:cs="Arial"/>
          <w:color w:val="000000"/>
          <w:sz w:val="20"/>
          <w:szCs w:val="20"/>
        </w:rPr>
        <w:t>ime spent by PharmD and PharmD resident</w:t>
      </w:r>
      <w:r w:rsidR="00766803">
        <w:rPr>
          <w:rFonts w:ascii="Arial" w:hAnsi="Arial" w:cs="Arial"/>
          <w:color w:val="000000"/>
          <w:sz w:val="20"/>
          <w:szCs w:val="20"/>
        </w:rPr>
        <w:t>, and n</w:t>
      </w:r>
      <w:r w:rsidR="00766803" w:rsidRPr="00766803">
        <w:rPr>
          <w:rFonts w:ascii="Arial" w:hAnsi="Arial" w:cs="Arial"/>
          <w:color w:val="000000"/>
          <w:sz w:val="20"/>
          <w:szCs w:val="20"/>
        </w:rPr>
        <w:t>umber of follow up visits</w:t>
      </w:r>
      <w:r w:rsidR="00766803">
        <w:rPr>
          <w:rFonts w:ascii="Arial" w:hAnsi="Arial" w:cs="Arial"/>
          <w:color w:val="000000"/>
          <w:sz w:val="20"/>
          <w:szCs w:val="20"/>
        </w:rPr>
        <w:t>.</w:t>
      </w:r>
    </w:p>
    <w:p w14:paraId="43621C94" w14:textId="2AD23B1F" w:rsidR="007202C4" w:rsidRPr="007202C4" w:rsidRDefault="00567007" w:rsidP="00CD69C4">
      <w:pPr>
        <w:spacing w:before="120" w:after="120" w:line="360" w:lineRule="auto"/>
        <w:rPr>
          <w:rFonts w:ascii="Arial" w:hAnsi="Arial" w:cs="Arial"/>
          <w:color w:val="000000"/>
          <w:sz w:val="20"/>
          <w:szCs w:val="20"/>
        </w:rPr>
      </w:pPr>
      <w:r w:rsidRPr="00141AF6">
        <w:rPr>
          <w:rFonts w:ascii="Arial" w:hAnsi="Arial" w:cs="Arial"/>
          <w:b/>
          <w:bCs/>
          <w:sz w:val="20"/>
          <w:szCs w:val="20"/>
        </w:rPr>
        <w:t>Results</w:t>
      </w:r>
      <w:r w:rsidRPr="00DD5187">
        <w:rPr>
          <w:rFonts w:ascii="Arial" w:hAnsi="Arial" w:cs="Arial"/>
          <w:b/>
          <w:bCs/>
          <w:sz w:val="20"/>
          <w:szCs w:val="20"/>
        </w:rPr>
        <w:t>:</w:t>
      </w:r>
      <w:r w:rsidR="009A09DE" w:rsidRPr="00DD5187">
        <w:rPr>
          <w:rFonts w:ascii="Arial" w:hAnsi="Arial" w:cs="Arial"/>
          <w:sz w:val="20"/>
          <w:szCs w:val="20"/>
        </w:rPr>
        <w:t xml:space="preserve"> From October 14,</w:t>
      </w:r>
      <w:r w:rsidR="00C41314">
        <w:rPr>
          <w:rFonts w:ascii="Arial" w:hAnsi="Arial" w:cs="Arial"/>
          <w:sz w:val="20"/>
          <w:szCs w:val="20"/>
        </w:rPr>
        <w:t xml:space="preserve"> </w:t>
      </w:r>
      <w:r w:rsidR="009A09DE" w:rsidRPr="00DD5187">
        <w:rPr>
          <w:rFonts w:ascii="Arial" w:hAnsi="Arial" w:cs="Arial"/>
          <w:sz w:val="20"/>
          <w:szCs w:val="20"/>
        </w:rPr>
        <w:t xml:space="preserve">2021 to April 26, 2022, 42 patients enrolled into the program. Of these, 12 were excluded from </w:t>
      </w:r>
      <w:r w:rsidR="00DD5187" w:rsidRPr="00DD5187">
        <w:rPr>
          <w:rFonts w:ascii="Arial" w:hAnsi="Arial" w:cs="Arial"/>
          <w:sz w:val="20"/>
          <w:szCs w:val="20"/>
        </w:rPr>
        <w:t xml:space="preserve">the </w:t>
      </w:r>
      <w:r w:rsidR="004B1A95" w:rsidRPr="00DD5187">
        <w:rPr>
          <w:rFonts w:ascii="Arial" w:hAnsi="Arial" w:cs="Arial"/>
          <w:sz w:val="20"/>
          <w:szCs w:val="20"/>
        </w:rPr>
        <w:t>results</w:t>
      </w:r>
      <w:r w:rsidR="009A09DE" w:rsidRPr="00DD5187">
        <w:rPr>
          <w:rFonts w:ascii="Arial" w:hAnsi="Arial" w:cs="Arial"/>
          <w:sz w:val="20"/>
          <w:szCs w:val="20"/>
        </w:rPr>
        <w:t xml:space="preserve">. Five patients were lost to follow, three </w:t>
      </w:r>
      <w:r w:rsidR="009A09DE" w:rsidRPr="009A09DE">
        <w:rPr>
          <w:rFonts w:ascii="Arial" w:hAnsi="Arial" w:cs="Arial"/>
          <w:sz w:val="20"/>
          <w:szCs w:val="20"/>
        </w:rPr>
        <w:t>patients transferred car</w:t>
      </w:r>
      <w:r w:rsidR="009A09DE" w:rsidRPr="00DD5187">
        <w:rPr>
          <w:rFonts w:ascii="Arial" w:hAnsi="Arial" w:cs="Arial"/>
          <w:sz w:val="20"/>
          <w:szCs w:val="20"/>
        </w:rPr>
        <w:t xml:space="preserve">e, and four patients enrolled after March 1, 2022. </w:t>
      </w:r>
      <w:r w:rsidR="00DD5187" w:rsidRPr="00DD5187">
        <w:rPr>
          <w:rFonts w:ascii="Arial" w:hAnsi="Arial" w:cs="Arial"/>
          <w:sz w:val="20"/>
          <w:szCs w:val="20"/>
        </w:rPr>
        <w:t xml:space="preserve">During the 28 weeks of workflow implementation, there were 145 CGM encounters between the 30 enrollees. Patient’s averaged 19.9 weeks of enrollment and had an average of 5 visits during this time. </w:t>
      </w:r>
      <w:r w:rsidR="004B1A95" w:rsidRPr="00DD5187">
        <w:rPr>
          <w:rFonts w:ascii="Arial" w:hAnsi="Arial" w:cs="Arial"/>
          <w:sz w:val="20"/>
          <w:szCs w:val="20"/>
        </w:rPr>
        <w:t>During</w:t>
      </w:r>
      <w:r w:rsidR="00DD5187" w:rsidRPr="00DD5187">
        <w:rPr>
          <w:rFonts w:ascii="Arial" w:hAnsi="Arial" w:cs="Arial"/>
          <w:sz w:val="20"/>
          <w:szCs w:val="20"/>
        </w:rPr>
        <w:t xml:space="preserve"> the 28 weeks</w:t>
      </w:r>
      <w:r w:rsidR="007202C4">
        <w:rPr>
          <w:rFonts w:ascii="Arial" w:hAnsi="Arial" w:cs="Arial"/>
          <w:sz w:val="20"/>
          <w:szCs w:val="20"/>
        </w:rPr>
        <w:t xml:space="preserve">, </w:t>
      </w:r>
      <w:r w:rsidR="00DD5187" w:rsidRPr="00DD5187">
        <w:rPr>
          <w:rFonts w:ascii="Arial" w:hAnsi="Arial" w:cs="Arial"/>
          <w:sz w:val="20"/>
          <w:szCs w:val="20"/>
        </w:rPr>
        <w:t xml:space="preserve">100 </w:t>
      </w:r>
      <w:r w:rsidR="007202C4" w:rsidRPr="00DD5187">
        <w:rPr>
          <w:rFonts w:ascii="Arial" w:hAnsi="Arial" w:cs="Arial"/>
          <w:sz w:val="20"/>
          <w:szCs w:val="20"/>
        </w:rPr>
        <w:t>medications</w:t>
      </w:r>
      <w:r w:rsidR="00DD5187" w:rsidRPr="00DD5187">
        <w:rPr>
          <w:rFonts w:ascii="Arial" w:hAnsi="Arial" w:cs="Arial"/>
          <w:sz w:val="20"/>
          <w:szCs w:val="20"/>
        </w:rPr>
        <w:t xml:space="preserve"> changes were implemented </w:t>
      </w:r>
      <w:r w:rsidR="00DD5187" w:rsidRPr="00DD5187">
        <w:rPr>
          <w:rFonts w:ascii="Arial" w:hAnsi="Arial" w:cs="Arial"/>
          <w:color w:val="000000"/>
          <w:sz w:val="20"/>
          <w:szCs w:val="20"/>
        </w:rPr>
        <w:t xml:space="preserve">under the existing Clinical Pharmacist Practitioner (CPP) agreement between the pharmacist and the provider. The </w:t>
      </w:r>
      <w:r w:rsidR="007202C4" w:rsidRPr="00DD5187">
        <w:rPr>
          <w:rFonts w:ascii="Arial" w:hAnsi="Arial" w:cs="Arial"/>
          <w:color w:val="000000"/>
          <w:sz w:val="20"/>
          <w:szCs w:val="20"/>
        </w:rPr>
        <w:t>pharmacist led</w:t>
      </w:r>
      <w:r w:rsidR="00DD5187" w:rsidRPr="00DD5187">
        <w:rPr>
          <w:rFonts w:ascii="Arial" w:hAnsi="Arial" w:cs="Arial"/>
          <w:color w:val="000000"/>
          <w:sz w:val="20"/>
          <w:szCs w:val="20"/>
        </w:rPr>
        <w:t xml:space="preserve"> CGM workflow led to a statistically significant reduction in A1c from baseline</w:t>
      </w:r>
      <w:r w:rsidR="00DD5187">
        <w:rPr>
          <w:rFonts w:ascii="Arial" w:hAnsi="Arial" w:cs="Arial"/>
          <w:color w:val="000000"/>
          <w:sz w:val="20"/>
          <w:szCs w:val="20"/>
        </w:rPr>
        <w:t xml:space="preserve"> by an average of 1.2%</w:t>
      </w:r>
      <w:r w:rsidR="00DD5187" w:rsidRPr="00DD5187">
        <w:rPr>
          <w:rFonts w:ascii="Arial" w:hAnsi="Arial" w:cs="Arial"/>
          <w:color w:val="000000"/>
          <w:sz w:val="20"/>
          <w:szCs w:val="20"/>
        </w:rPr>
        <w:t>. (95% CI, -0.6 – -1.8; P = 0.0006)</w:t>
      </w:r>
      <w:r w:rsidR="00DD5187">
        <w:rPr>
          <w:rFonts w:ascii="Arial" w:hAnsi="Arial" w:cs="Arial"/>
          <w:color w:val="000000"/>
          <w:sz w:val="20"/>
          <w:szCs w:val="20"/>
        </w:rPr>
        <w:t xml:space="preserve">. </w:t>
      </w:r>
      <w:r w:rsidR="00DD5187" w:rsidRPr="00DD5187">
        <w:rPr>
          <w:rFonts w:ascii="Arial" w:hAnsi="Arial" w:cs="Arial"/>
          <w:color w:val="000000"/>
          <w:sz w:val="20"/>
          <w:szCs w:val="20"/>
        </w:rPr>
        <w:t>73%</w:t>
      </w:r>
      <w:r w:rsidR="00DD5187" w:rsidRPr="00DD5187">
        <w:rPr>
          <w:rFonts w:ascii="Arial" w:hAnsi="Arial" w:cs="Arial"/>
          <w:b/>
          <w:bCs/>
          <w:color w:val="000000"/>
          <w:sz w:val="20"/>
          <w:szCs w:val="20"/>
        </w:rPr>
        <w:t xml:space="preserve"> </w:t>
      </w:r>
      <w:r w:rsidR="00DD5187" w:rsidRPr="00DD5187">
        <w:rPr>
          <w:rFonts w:ascii="Arial" w:hAnsi="Arial" w:cs="Arial"/>
          <w:color w:val="000000"/>
          <w:sz w:val="20"/>
          <w:szCs w:val="20"/>
        </w:rPr>
        <w:t xml:space="preserve">of </w:t>
      </w:r>
      <w:r w:rsidR="00DD5187">
        <w:rPr>
          <w:rFonts w:ascii="Arial" w:hAnsi="Arial" w:cs="Arial"/>
          <w:color w:val="000000"/>
          <w:sz w:val="20"/>
          <w:szCs w:val="20"/>
        </w:rPr>
        <w:t xml:space="preserve">all </w:t>
      </w:r>
      <w:r w:rsidR="00DD5187" w:rsidRPr="00DD5187">
        <w:rPr>
          <w:rFonts w:ascii="Arial" w:hAnsi="Arial" w:cs="Arial"/>
          <w:color w:val="000000"/>
          <w:sz w:val="20"/>
          <w:szCs w:val="20"/>
        </w:rPr>
        <w:t>patients saw an improvement in A1c</w:t>
      </w:r>
      <w:r w:rsidR="00DD5187">
        <w:rPr>
          <w:rFonts w:ascii="Arial" w:hAnsi="Arial" w:cs="Arial"/>
          <w:color w:val="000000"/>
          <w:sz w:val="20"/>
          <w:szCs w:val="20"/>
        </w:rPr>
        <w:t xml:space="preserve">. During this time, 58 CPT 95251 codes were billed yielding </w:t>
      </w:r>
      <w:r w:rsidR="00DD5187" w:rsidRPr="00DD5187">
        <w:rPr>
          <w:rFonts w:ascii="Arial" w:hAnsi="Arial" w:cs="Arial"/>
          <w:color w:val="000000"/>
          <w:sz w:val="20"/>
          <w:szCs w:val="20"/>
        </w:rPr>
        <w:t>$7,052.00</w:t>
      </w:r>
      <w:r w:rsidR="00DD5187">
        <w:rPr>
          <w:rFonts w:ascii="Arial" w:hAnsi="Arial" w:cs="Arial"/>
          <w:color w:val="000000"/>
          <w:sz w:val="20"/>
          <w:szCs w:val="20"/>
        </w:rPr>
        <w:t xml:space="preserve"> in billed services for the clinic. This </w:t>
      </w:r>
      <w:r w:rsidR="007202C4">
        <w:rPr>
          <w:rFonts w:ascii="Arial" w:hAnsi="Arial" w:cs="Arial"/>
          <w:color w:val="000000"/>
          <w:sz w:val="20"/>
          <w:szCs w:val="20"/>
        </w:rPr>
        <w:t xml:space="preserve">generated 40.6 provider RVUs. The implementation of the CGM workflow led to </w:t>
      </w:r>
      <w:r w:rsidR="007202C4" w:rsidRPr="007202C4">
        <w:rPr>
          <w:rFonts w:ascii="Arial" w:hAnsi="Arial" w:cs="Arial"/>
          <w:color w:val="000000"/>
          <w:sz w:val="20"/>
          <w:szCs w:val="20"/>
        </w:rPr>
        <w:t>1 less diabetes related hospitalization</w:t>
      </w:r>
      <w:r w:rsidR="007202C4">
        <w:rPr>
          <w:rFonts w:ascii="Arial" w:hAnsi="Arial" w:cs="Arial"/>
          <w:color w:val="000000"/>
          <w:sz w:val="20"/>
          <w:szCs w:val="20"/>
        </w:rPr>
        <w:t xml:space="preserve">. Overall, 4077 minutes were spent by the PharmD or PharmD resident on CGM encounters resulting in 28.1 minutes per patient encounter. </w:t>
      </w:r>
    </w:p>
    <w:p w14:paraId="516860C8" w14:textId="75DA3C7B" w:rsidR="00567007" w:rsidRPr="00141AF6" w:rsidRDefault="00567007" w:rsidP="00CD69C4">
      <w:pPr>
        <w:spacing w:before="120" w:after="120" w:line="360" w:lineRule="auto"/>
        <w:rPr>
          <w:rFonts w:ascii="Arial" w:hAnsi="Arial" w:cs="Arial"/>
          <w:sz w:val="20"/>
          <w:szCs w:val="20"/>
        </w:rPr>
      </w:pPr>
      <w:r w:rsidRPr="007202C4">
        <w:rPr>
          <w:rFonts w:ascii="Arial" w:hAnsi="Arial" w:cs="Arial"/>
          <w:b/>
          <w:bCs/>
          <w:sz w:val="20"/>
          <w:szCs w:val="20"/>
        </w:rPr>
        <w:t>Conclusion:</w:t>
      </w:r>
      <w:r w:rsidRPr="00141AF6">
        <w:rPr>
          <w:rFonts w:ascii="Arial" w:hAnsi="Arial" w:cs="Arial"/>
          <w:sz w:val="20"/>
          <w:szCs w:val="20"/>
        </w:rPr>
        <w:t xml:space="preserve"> </w:t>
      </w:r>
      <w:r w:rsidR="007202C4" w:rsidRPr="007202C4">
        <w:rPr>
          <w:rFonts w:ascii="Arial" w:hAnsi="Arial" w:cs="Arial"/>
          <w:sz w:val="20"/>
          <w:szCs w:val="20"/>
        </w:rPr>
        <w:t>The implementation of a pharmacist led CGM workflow resulted in improved diabetes control</w:t>
      </w:r>
      <w:r w:rsidR="007202C4">
        <w:rPr>
          <w:rFonts w:ascii="Arial" w:hAnsi="Arial" w:cs="Arial"/>
          <w:sz w:val="20"/>
          <w:szCs w:val="20"/>
        </w:rPr>
        <w:t xml:space="preserve"> as marked by the reduction A1c. </w:t>
      </w:r>
      <w:r w:rsidR="005F5492">
        <w:rPr>
          <w:rFonts w:ascii="Arial" w:hAnsi="Arial" w:cs="Arial"/>
          <w:sz w:val="20"/>
          <w:szCs w:val="20"/>
        </w:rPr>
        <w:t>T</w:t>
      </w:r>
      <w:r w:rsidR="005F5492" w:rsidRPr="005F5492">
        <w:rPr>
          <w:rFonts w:ascii="Arial" w:hAnsi="Arial" w:cs="Arial"/>
          <w:sz w:val="20"/>
          <w:szCs w:val="20"/>
        </w:rPr>
        <w:t>his study demonstrated a successful and financially stable model through appropriate and maximized billing of CGM CPT codes</w:t>
      </w:r>
      <w:r w:rsidR="00CE55A5">
        <w:rPr>
          <w:rFonts w:ascii="Arial" w:hAnsi="Arial" w:cs="Arial"/>
          <w:sz w:val="20"/>
          <w:szCs w:val="20"/>
        </w:rPr>
        <w:t>.</w:t>
      </w:r>
    </w:p>
    <w:sectPr w:rsidR="00567007" w:rsidRPr="00141A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C025" w14:textId="77777777" w:rsidR="00567007" w:rsidRDefault="00567007" w:rsidP="00567007">
      <w:pPr>
        <w:spacing w:after="0" w:line="240" w:lineRule="auto"/>
      </w:pPr>
      <w:r>
        <w:separator/>
      </w:r>
    </w:p>
  </w:endnote>
  <w:endnote w:type="continuationSeparator" w:id="0">
    <w:p w14:paraId="7D4521C8" w14:textId="77777777" w:rsidR="00567007" w:rsidRDefault="00567007" w:rsidP="0056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95A25" w14:textId="77777777" w:rsidR="00567007" w:rsidRDefault="00567007" w:rsidP="00567007">
      <w:pPr>
        <w:spacing w:after="0" w:line="240" w:lineRule="auto"/>
      </w:pPr>
      <w:r>
        <w:separator/>
      </w:r>
    </w:p>
  </w:footnote>
  <w:footnote w:type="continuationSeparator" w:id="0">
    <w:p w14:paraId="5A6FDEE1" w14:textId="77777777" w:rsidR="00567007" w:rsidRDefault="00567007" w:rsidP="00567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70B"/>
    <w:multiLevelType w:val="hybridMultilevel"/>
    <w:tmpl w:val="CDACF136"/>
    <w:lvl w:ilvl="0" w:tplc="4A680064">
      <w:start w:val="1"/>
      <w:numFmt w:val="bullet"/>
      <w:lvlText w:val="•"/>
      <w:lvlJc w:val="left"/>
      <w:pPr>
        <w:tabs>
          <w:tab w:val="num" w:pos="720"/>
        </w:tabs>
        <w:ind w:left="720" w:hanging="360"/>
      </w:pPr>
      <w:rPr>
        <w:rFonts w:ascii="Times New Roman" w:hAnsi="Times New Roman" w:hint="default"/>
      </w:rPr>
    </w:lvl>
    <w:lvl w:ilvl="1" w:tplc="401600EE" w:tentative="1">
      <w:start w:val="1"/>
      <w:numFmt w:val="bullet"/>
      <w:lvlText w:val="•"/>
      <w:lvlJc w:val="left"/>
      <w:pPr>
        <w:tabs>
          <w:tab w:val="num" w:pos="1440"/>
        </w:tabs>
        <w:ind w:left="1440" w:hanging="360"/>
      </w:pPr>
      <w:rPr>
        <w:rFonts w:ascii="Times New Roman" w:hAnsi="Times New Roman" w:hint="default"/>
      </w:rPr>
    </w:lvl>
    <w:lvl w:ilvl="2" w:tplc="09926138" w:tentative="1">
      <w:start w:val="1"/>
      <w:numFmt w:val="bullet"/>
      <w:lvlText w:val="•"/>
      <w:lvlJc w:val="left"/>
      <w:pPr>
        <w:tabs>
          <w:tab w:val="num" w:pos="2160"/>
        </w:tabs>
        <w:ind w:left="2160" w:hanging="360"/>
      </w:pPr>
      <w:rPr>
        <w:rFonts w:ascii="Times New Roman" w:hAnsi="Times New Roman" w:hint="default"/>
      </w:rPr>
    </w:lvl>
    <w:lvl w:ilvl="3" w:tplc="1A8249DA" w:tentative="1">
      <w:start w:val="1"/>
      <w:numFmt w:val="bullet"/>
      <w:lvlText w:val="•"/>
      <w:lvlJc w:val="left"/>
      <w:pPr>
        <w:tabs>
          <w:tab w:val="num" w:pos="2880"/>
        </w:tabs>
        <w:ind w:left="2880" w:hanging="360"/>
      </w:pPr>
      <w:rPr>
        <w:rFonts w:ascii="Times New Roman" w:hAnsi="Times New Roman" w:hint="default"/>
      </w:rPr>
    </w:lvl>
    <w:lvl w:ilvl="4" w:tplc="A472374E" w:tentative="1">
      <w:start w:val="1"/>
      <w:numFmt w:val="bullet"/>
      <w:lvlText w:val="•"/>
      <w:lvlJc w:val="left"/>
      <w:pPr>
        <w:tabs>
          <w:tab w:val="num" w:pos="3600"/>
        </w:tabs>
        <w:ind w:left="3600" w:hanging="360"/>
      </w:pPr>
      <w:rPr>
        <w:rFonts w:ascii="Times New Roman" w:hAnsi="Times New Roman" w:hint="default"/>
      </w:rPr>
    </w:lvl>
    <w:lvl w:ilvl="5" w:tplc="0A4EC1B8" w:tentative="1">
      <w:start w:val="1"/>
      <w:numFmt w:val="bullet"/>
      <w:lvlText w:val="•"/>
      <w:lvlJc w:val="left"/>
      <w:pPr>
        <w:tabs>
          <w:tab w:val="num" w:pos="4320"/>
        </w:tabs>
        <w:ind w:left="4320" w:hanging="360"/>
      </w:pPr>
      <w:rPr>
        <w:rFonts w:ascii="Times New Roman" w:hAnsi="Times New Roman" w:hint="default"/>
      </w:rPr>
    </w:lvl>
    <w:lvl w:ilvl="6" w:tplc="5A609762" w:tentative="1">
      <w:start w:val="1"/>
      <w:numFmt w:val="bullet"/>
      <w:lvlText w:val="•"/>
      <w:lvlJc w:val="left"/>
      <w:pPr>
        <w:tabs>
          <w:tab w:val="num" w:pos="5040"/>
        </w:tabs>
        <w:ind w:left="5040" w:hanging="360"/>
      </w:pPr>
      <w:rPr>
        <w:rFonts w:ascii="Times New Roman" w:hAnsi="Times New Roman" w:hint="default"/>
      </w:rPr>
    </w:lvl>
    <w:lvl w:ilvl="7" w:tplc="0E4000D4" w:tentative="1">
      <w:start w:val="1"/>
      <w:numFmt w:val="bullet"/>
      <w:lvlText w:val="•"/>
      <w:lvlJc w:val="left"/>
      <w:pPr>
        <w:tabs>
          <w:tab w:val="num" w:pos="5760"/>
        </w:tabs>
        <w:ind w:left="5760" w:hanging="360"/>
      </w:pPr>
      <w:rPr>
        <w:rFonts w:ascii="Times New Roman" w:hAnsi="Times New Roman" w:hint="default"/>
      </w:rPr>
    </w:lvl>
    <w:lvl w:ilvl="8" w:tplc="026C5A4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66941A7"/>
    <w:multiLevelType w:val="hybridMultilevel"/>
    <w:tmpl w:val="E1AE5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07"/>
    <w:rsid w:val="000A2C63"/>
    <w:rsid w:val="00141AF6"/>
    <w:rsid w:val="00141DF1"/>
    <w:rsid w:val="001E6E4D"/>
    <w:rsid w:val="00465C93"/>
    <w:rsid w:val="004B1A95"/>
    <w:rsid w:val="004E14D3"/>
    <w:rsid w:val="00567007"/>
    <w:rsid w:val="005F5492"/>
    <w:rsid w:val="007110AE"/>
    <w:rsid w:val="007202C4"/>
    <w:rsid w:val="00766803"/>
    <w:rsid w:val="007715DB"/>
    <w:rsid w:val="00780D95"/>
    <w:rsid w:val="007E20E2"/>
    <w:rsid w:val="00822B44"/>
    <w:rsid w:val="008E4964"/>
    <w:rsid w:val="00944343"/>
    <w:rsid w:val="009A09DE"/>
    <w:rsid w:val="00A41417"/>
    <w:rsid w:val="00A9279C"/>
    <w:rsid w:val="00B66E6C"/>
    <w:rsid w:val="00C2652C"/>
    <w:rsid w:val="00C41314"/>
    <w:rsid w:val="00CD69C4"/>
    <w:rsid w:val="00CE55A5"/>
    <w:rsid w:val="00DD5187"/>
    <w:rsid w:val="00EC2AA9"/>
    <w:rsid w:val="00EE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F5D7"/>
  <w15:chartTrackingRefBased/>
  <w15:docId w15:val="{E552150C-BA21-4459-B629-4DE15699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007"/>
  </w:style>
  <w:style w:type="paragraph" w:styleId="Footer">
    <w:name w:val="footer"/>
    <w:basedOn w:val="Normal"/>
    <w:link w:val="FooterChar"/>
    <w:uiPriority w:val="99"/>
    <w:unhideWhenUsed/>
    <w:rsid w:val="00567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007"/>
  </w:style>
  <w:style w:type="character" w:customStyle="1" w:styleId="marky2wpxvi8i">
    <w:name w:val="marky2wpxvi8i"/>
    <w:basedOn w:val="DefaultParagraphFont"/>
    <w:rsid w:val="00567007"/>
  </w:style>
  <w:style w:type="character" w:customStyle="1" w:styleId="markxda6zxpgw">
    <w:name w:val="markxda6zxpgw"/>
    <w:basedOn w:val="DefaultParagraphFont"/>
    <w:rsid w:val="00567007"/>
  </w:style>
  <w:style w:type="paragraph" w:styleId="NormalWeb">
    <w:name w:val="Normal (Web)"/>
    <w:basedOn w:val="Normal"/>
    <w:uiPriority w:val="99"/>
    <w:semiHidden/>
    <w:unhideWhenUsed/>
    <w:rsid w:val="00DD51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6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2042">
      <w:bodyDiv w:val="1"/>
      <w:marLeft w:val="0"/>
      <w:marRight w:val="0"/>
      <w:marTop w:val="0"/>
      <w:marBottom w:val="0"/>
      <w:divBdr>
        <w:top w:val="none" w:sz="0" w:space="0" w:color="auto"/>
        <w:left w:val="none" w:sz="0" w:space="0" w:color="auto"/>
        <w:bottom w:val="none" w:sz="0" w:space="0" w:color="auto"/>
        <w:right w:val="none" w:sz="0" w:space="0" w:color="auto"/>
      </w:divBdr>
      <w:divsChild>
        <w:div w:id="290988292">
          <w:marLeft w:val="0"/>
          <w:marRight w:val="0"/>
          <w:marTop w:val="0"/>
          <w:marBottom w:val="0"/>
          <w:divBdr>
            <w:top w:val="none" w:sz="0" w:space="0" w:color="auto"/>
            <w:left w:val="none" w:sz="0" w:space="0" w:color="auto"/>
            <w:bottom w:val="none" w:sz="0" w:space="0" w:color="auto"/>
            <w:right w:val="none" w:sz="0" w:space="0" w:color="auto"/>
          </w:divBdr>
        </w:div>
      </w:divsChild>
    </w:div>
    <w:div w:id="815296653">
      <w:bodyDiv w:val="1"/>
      <w:marLeft w:val="0"/>
      <w:marRight w:val="0"/>
      <w:marTop w:val="0"/>
      <w:marBottom w:val="0"/>
      <w:divBdr>
        <w:top w:val="none" w:sz="0" w:space="0" w:color="auto"/>
        <w:left w:val="none" w:sz="0" w:space="0" w:color="auto"/>
        <w:bottom w:val="none" w:sz="0" w:space="0" w:color="auto"/>
        <w:right w:val="none" w:sz="0" w:space="0" w:color="auto"/>
      </w:divBdr>
      <w:divsChild>
        <w:div w:id="875699570">
          <w:marLeft w:val="216"/>
          <w:marRight w:val="0"/>
          <w:marTop w:val="0"/>
          <w:marBottom w:val="0"/>
          <w:divBdr>
            <w:top w:val="none" w:sz="0" w:space="0" w:color="auto"/>
            <w:left w:val="none" w:sz="0" w:space="0" w:color="auto"/>
            <w:bottom w:val="none" w:sz="0" w:space="0" w:color="auto"/>
            <w:right w:val="none" w:sz="0" w:space="0" w:color="auto"/>
          </w:divBdr>
        </w:div>
      </w:divsChild>
    </w:div>
    <w:div w:id="1020085820">
      <w:bodyDiv w:val="1"/>
      <w:marLeft w:val="0"/>
      <w:marRight w:val="0"/>
      <w:marTop w:val="0"/>
      <w:marBottom w:val="0"/>
      <w:divBdr>
        <w:top w:val="none" w:sz="0" w:space="0" w:color="auto"/>
        <w:left w:val="none" w:sz="0" w:space="0" w:color="auto"/>
        <w:bottom w:val="none" w:sz="0" w:space="0" w:color="auto"/>
        <w:right w:val="none" w:sz="0" w:space="0" w:color="auto"/>
      </w:divBdr>
      <w:divsChild>
        <w:div w:id="800541403">
          <w:marLeft w:val="547"/>
          <w:marRight w:val="0"/>
          <w:marTop w:val="0"/>
          <w:marBottom w:val="0"/>
          <w:divBdr>
            <w:top w:val="none" w:sz="0" w:space="0" w:color="auto"/>
            <w:left w:val="none" w:sz="0" w:space="0" w:color="auto"/>
            <w:bottom w:val="none" w:sz="0" w:space="0" w:color="auto"/>
            <w:right w:val="none" w:sz="0" w:space="0" w:color="auto"/>
          </w:divBdr>
        </w:div>
        <w:div w:id="853961174">
          <w:marLeft w:val="547"/>
          <w:marRight w:val="0"/>
          <w:marTop w:val="0"/>
          <w:marBottom w:val="0"/>
          <w:divBdr>
            <w:top w:val="none" w:sz="0" w:space="0" w:color="auto"/>
            <w:left w:val="none" w:sz="0" w:space="0" w:color="auto"/>
            <w:bottom w:val="none" w:sz="0" w:space="0" w:color="auto"/>
            <w:right w:val="none" w:sz="0" w:space="0" w:color="auto"/>
          </w:divBdr>
        </w:div>
        <w:div w:id="699352767">
          <w:marLeft w:val="547"/>
          <w:marRight w:val="0"/>
          <w:marTop w:val="0"/>
          <w:marBottom w:val="0"/>
          <w:divBdr>
            <w:top w:val="none" w:sz="0" w:space="0" w:color="auto"/>
            <w:left w:val="none" w:sz="0" w:space="0" w:color="auto"/>
            <w:bottom w:val="none" w:sz="0" w:space="0" w:color="auto"/>
            <w:right w:val="none" w:sz="0" w:space="0" w:color="auto"/>
          </w:divBdr>
        </w:div>
        <w:div w:id="716053061">
          <w:marLeft w:val="547"/>
          <w:marRight w:val="0"/>
          <w:marTop w:val="0"/>
          <w:marBottom w:val="0"/>
          <w:divBdr>
            <w:top w:val="none" w:sz="0" w:space="0" w:color="auto"/>
            <w:left w:val="none" w:sz="0" w:space="0" w:color="auto"/>
            <w:bottom w:val="none" w:sz="0" w:space="0" w:color="auto"/>
            <w:right w:val="none" w:sz="0" w:space="0" w:color="auto"/>
          </w:divBdr>
        </w:div>
        <w:div w:id="1360400135">
          <w:marLeft w:val="547"/>
          <w:marRight w:val="0"/>
          <w:marTop w:val="0"/>
          <w:marBottom w:val="0"/>
          <w:divBdr>
            <w:top w:val="none" w:sz="0" w:space="0" w:color="auto"/>
            <w:left w:val="none" w:sz="0" w:space="0" w:color="auto"/>
            <w:bottom w:val="none" w:sz="0" w:space="0" w:color="auto"/>
            <w:right w:val="none" w:sz="0" w:space="0" w:color="auto"/>
          </w:divBdr>
        </w:div>
        <w:div w:id="788474492">
          <w:marLeft w:val="547"/>
          <w:marRight w:val="0"/>
          <w:marTop w:val="0"/>
          <w:marBottom w:val="0"/>
          <w:divBdr>
            <w:top w:val="none" w:sz="0" w:space="0" w:color="auto"/>
            <w:left w:val="none" w:sz="0" w:space="0" w:color="auto"/>
            <w:bottom w:val="none" w:sz="0" w:space="0" w:color="auto"/>
            <w:right w:val="none" w:sz="0" w:space="0" w:color="auto"/>
          </w:divBdr>
        </w:div>
        <w:div w:id="1136067133">
          <w:marLeft w:val="547"/>
          <w:marRight w:val="0"/>
          <w:marTop w:val="0"/>
          <w:marBottom w:val="0"/>
          <w:divBdr>
            <w:top w:val="none" w:sz="0" w:space="0" w:color="auto"/>
            <w:left w:val="none" w:sz="0" w:space="0" w:color="auto"/>
            <w:bottom w:val="none" w:sz="0" w:space="0" w:color="auto"/>
            <w:right w:val="none" w:sz="0" w:space="0" w:color="auto"/>
          </w:divBdr>
        </w:div>
        <w:div w:id="1467233552">
          <w:marLeft w:val="547"/>
          <w:marRight w:val="0"/>
          <w:marTop w:val="0"/>
          <w:marBottom w:val="0"/>
          <w:divBdr>
            <w:top w:val="none" w:sz="0" w:space="0" w:color="auto"/>
            <w:left w:val="none" w:sz="0" w:space="0" w:color="auto"/>
            <w:bottom w:val="none" w:sz="0" w:space="0" w:color="auto"/>
            <w:right w:val="none" w:sz="0" w:space="0" w:color="auto"/>
          </w:divBdr>
        </w:div>
      </w:divsChild>
    </w:div>
    <w:div w:id="1444036716">
      <w:bodyDiv w:val="1"/>
      <w:marLeft w:val="0"/>
      <w:marRight w:val="0"/>
      <w:marTop w:val="0"/>
      <w:marBottom w:val="0"/>
      <w:divBdr>
        <w:top w:val="none" w:sz="0" w:space="0" w:color="auto"/>
        <w:left w:val="none" w:sz="0" w:space="0" w:color="auto"/>
        <w:bottom w:val="none" w:sz="0" w:space="0" w:color="auto"/>
        <w:right w:val="none" w:sz="0" w:space="0" w:color="auto"/>
      </w:divBdr>
    </w:div>
    <w:div w:id="15654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Pasour, Tyler</dc:creator>
  <cp:keywords/>
  <dc:description/>
  <cp:lastModifiedBy>Pasour, Tyler</cp:lastModifiedBy>
  <cp:revision>27</cp:revision>
  <dcterms:created xsi:type="dcterms:W3CDTF">2022-05-01T16:38:00Z</dcterms:created>
  <dcterms:modified xsi:type="dcterms:W3CDTF">2022-05-04T18:35:00Z</dcterms:modified>
</cp:coreProperties>
</file>