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FAA9" w14:textId="77777777" w:rsidR="004E5545" w:rsidRDefault="00C53911" w:rsidP="00C53911">
      <w:pPr>
        <w:jc w:val="center"/>
        <w:rPr>
          <w:rFonts w:ascii="Times New Roman" w:hAnsi="Times New Roman" w:cs="Times New Roman"/>
          <w:b/>
          <w:sz w:val="24"/>
          <w:szCs w:val="24"/>
        </w:rPr>
      </w:pPr>
      <w:r>
        <w:rPr>
          <w:rFonts w:ascii="Times New Roman" w:hAnsi="Times New Roman" w:cs="Times New Roman"/>
          <w:b/>
          <w:sz w:val="24"/>
          <w:szCs w:val="24"/>
        </w:rPr>
        <w:t xml:space="preserve">Safety </w:t>
      </w:r>
      <w:r w:rsidR="00B0394E">
        <w:rPr>
          <w:rFonts w:ascii="Times New Roman" w:hAnsi="Times New Roman" w:cs="Times New Roman"/>
          <w:b/>
          <w:sz w:val="24"/>
          <w:szCs w:val="24"/>
        </w:rPr>
        <w:t>of Aldosterone Receptor Antagonists in Patients with Congestive Heart Failure</w:t>
      </w:r>
    </w:p>
    <w:p w14:paraId="5D3BF50B" w14:textId="4F4F2F55" w:rsidR="00B96115" w:rsidRDefault="00B96115" w:rsidP="00B96115">
      <w:pPr>
        <w:rPr>
          <w:rFonts w:ascii="Times New Roman" w:hAnsi="Times New Roman" w:cs="Times New Roman"/>
          <w:sz w:val="24"/>
          <w:szCs w:val="24"/>
        </w:rPr>
      </w:pPr>
      <w:r>
        <w:rPr>
          <w:rFonts w:ascii="Times New Roman" w:hAnsi="Times New Roman" w:cs="Times New Roman"/>
          <w:b/>
          <w:sz w:val="24"/>
          <w:szCs w:val="24"/>
        </w:rPr>
        <w:t xml:space="preserve">Authors: </w:t>
      </w:r>
      <w:r>
        <w:rPr>
          <w:rFonts w:ascii="Times New Roman" w:hAnsi="Times New Roman" w:cs="Times New Roman"/>
          <w:sz w:val="24"/>
          <w:szCs w:val="24"/>
        </w:rPr>
        <w:t>Maria Muehrcke, PharmD, MBA; Scott Bragg, PharmD</w:t>
      </w:r>
    </w:p>
    <w:p w14:paraId="6034840E" w14:textId="77777777" w:rsidR="00B96115" w:rsidRDefault="00B96115" w:rsidP="00B96115">
      <w:pPr>
        <w:rPr>
          <w:rFonts w:ascii="Times New Roman" w:hAnsi="Times New Roman" w:cs="Times New Roman"/>
          <w:sz w:val="24"/>
          <w:szCs w:val="24"/>
        </w:rPr>
      </w:pPr>
      <w:r>
        <w:rPr>
          <w:rFonts w:ascii="Times New Roman" w:hAnsi="Times New Roman" w:cs="Times New Roman"/>
          <w:b/>
          <w:sz w:val="24"/>
          <w:szCs w:val="24"/>
        </w:rPr>
        <w:t>Practice Site:</w:t>
      </w:r>
      <w:r>
        <w:rPr>
          <w:rFonts w:ascii="Times New Roman" w:hAnsi="Times New Roman" w:cs="Times New Roman"/>
          <w:sz w:val="24"/>
          <w:szCs w:val="24"/>
        </w:rPr>
        <w:t xml:space="preserve"> MUSC Health; Charleston, SC</w:t>
      </w:r>
    </w:p>
    <w:p w14:paraId="59BAFDDA" w14:textId="77777777" w:rsidR="00B96115" w:rsidRPr="002E24C0" w:rsidRDefault="00B96115" w:rsidP="00B96115">
      <w:pPr>
        <w:rPr>
          <w:rFonts w:ascii="Times New Roman" w:hAnsi="Times New Roman" w:cs="Times New Roman"/>
          <w:sz w:val="24"/>
          <w:szCs w:val="24"/>
        </w:rPr>
      </w:pPr>
      <w:r>
        <w:rPr>
          <w:rFonts w:ascii="Times New Roman" w:hAnsi="Times New Roman" w:cs="Times New Roman"/>
          <w:b/>
          <w:sz w:val="24"/>
          <w:szCs w:val="24"/>
        </w:rPr>
        <w:t xml:space="preserve">Background: </w:t>
      </w:r>
      <w:r w:rsidR="002E24C0">
        <w:rPr>
          <w:rFonts w:ascii="Times New Roman" w:hAnsi="Times New Roman" w:cs="Times New Roman"/>
          <w:sz w:val="24"/>
          <w:szCs w:val="24"/>
        </w:rPr>
        <w:t>The aldosterone receptor antagonists, spironolactone and eplerenone, help to reduce morbidity and mortality in patients with heart failure with reduced ejection fraction</w:t>
      </w:r>
      <w:r w:rsidR="00D31126">
        <w:rPr>
          <w:rFonts w:ascii="Times New Roman" w:hAnsi="Times New Roman" w:cs="Times New Roman"/>
          <w:sz w:val="24"/>
          <w:szCs w:val="24"/>
        </w:rPr>
        <w:t xml:space="preserve"> (HFrEF)</w:t>
      </w:r>
      <w:r w:rsidR="001520C4">
        <w:rPr>
          <w:rFonts w:ascii="Times New Roman" w:hAnsi="Times New Roman" w:cs="Times New Roman"/>
          <w:sz w:val="24"/>
          <w:szCs w:val="24"/>
        </w:rPr>
        <w:t xml:space="preserve">, categorized as </w:t>
      </w:r>
      <w:r w:rsidR="002E24C0">
        <w:rPr>
          <w:rFonts w:ascii="Times New Roman" w:hAnsi="Times New Roman" w:cs="Times New Roman"/>
          <w:sz w:val="24"/>
          <w:szCs w:val="24"/>
        </w:rPr>
        <w:t xml:space="preserve">an ejection fraction of 40% or less. It is recommended to initiate one of these agents in patients </w:t>
      </w:r>
      <w:r w:rsidR="001520C4">
        <w:rPr>
          <w:rFonts w:ascii="Times New Roman" w:hAnsi="Times New Roman" w:cs="Times New Roman"/>
          <w:sz w:val="24"/>
          <w:szCs w:val="24"/>
        </w:rPr>
        <w:t>whose symptoms are classified under</w:t>
      </w:r>
      <w:r w:rsidR="002E24C0">
        <w:rPr>
          <w:rFonts w:ascii="Times New Roman" w:hAnsi="Times New Roman" w:cs="Times New Roman"/>
          <w:sz w:val="24"/>
          <w:szCs w:val="24"/>
        </w:rPr>
        <w:t xml:space="preserve"> the New York Heart Association (NYHA) class 2, 3, or 4 based </w:t>
      </w:r>
      <w:r w:rsidR="001520C4">
        <w:rPr>
          <w:rFonts w:ascii="Times New Roman" w:hAnsi="Times New Roman" w:cs="Times New Roman"/>
          <w:sz w:val="24"/>
          <w:szCs w:val="24"/>
        </w:rPr>
        <w:t>on severity</w:t>
      </w:r>
      <w:r w:rsidR="002E24C0">
        <w:rPr>
          <w:rFonts w:ascii="Times New Roman" w:hAnsi="Times New Roman" w:cs="Times New Roman"/>
          <w:sz w:val="24"/>
          <w:szCs w:val="24"/>
        </w:rPr>
        <w:t xml:space="preserve">. Several monitoring parameters, including serum potassium levels, blood pressure, </w:t>
      </w:r>
      <w:r w:rsidR="00D31126">
        <w:rPr>
          <w:rFonts w:ascii="Times New Roman" w:hAnsi="Times New Roman" w:cs="Times New Roman"/>
          <w:sz w:val="24"/>
          <w:szCs w:val="24"/>
        </w:rPr>
        <w:t xml:space="preserve">and renal function, </w:t>
      </w:r>
      <w:r w:rsidR="002E24C0">
        <w:rPr>
          <w:rFonts w:ascii="Times New Roman" w:hAnsi="Times New Roman" w:cs="Times New Roman"/>
          <w:sz w:val="24"/>
          <w:szCs w:val="24"/>
        </w:rPr>
        <w:t xml:space="preserve">are routinely assessed with these agents. </w:t>
      </w:r>
    </w:p>
    <w:p w14:paraId="75A97C31" w14:textId="2BD7B6D5" w:rsidR="00B96115" w:rsidRPr="002E24C0" w:rsidRDefault="00B96115" w:rsidP="00B96115">
      <w:pPr>
        <w:rPr>
          <w:rFonts w:ascii="Times New Roman" w:hAnsi="Times New Roman" w:cs="Times New Roman"/>
          <w:sz w:val="24"/>
          <w:szCs w:val="24"/>
        </w:rPr>
      </w:pPr>
      <w:r>
        <w:rPr>
          <w:rFonts w:ascii="Times New Roman" w:hAnsi="Times New Roman" w:cs="Times New Roman"/>
          <w:b/>
          <w:sz w:val="24"/>
          <w:szCs w:val="24"/>
        </w:rPr>
        <w:t>Objective:</w:t>
      </w:r>
      <w:r w:rsidR="002E24C0">
        <w:rPr>
          <w:rFonts w:ascii="Times New Roman" w:hAnsi="Times New Roman" w:cs="Times New Roman"/>
          <w:b/>
          <w:sz w:val="24"/>
          <w:szCs w:val="24"/>
        </w:rPr>
        <w:t xml:space="preserve"> </w:t>
      </w:r>
      <w:r w:rsidR="002E24C0">
        <w:rPr>
          <w:rFonts w:ascii="Times New Roman" w:hAnsi="Times New Roman" w:cs="Times New Roman"/>
          <w:sz w:val="24"/>
          <w:szCs w:val="24"/>
        </w:rPr>
        <w:t xml:space="preserve">The purpose of this study </w:t>
      </w:r>
      <w:r w:rsidR="005D4FB1">
        <w:rPr>
          <w:rFonts w:ascii="Times New Roman" w:hAnsi="Times New Roman" w:cs="Times New Roman"/>
          <w:sz w:val="24"/>
          <w:szCs w:val="24"/>
        </w:rPr>
        <w:t xml:space="preserve">was </w:t>
      </w:r>
      <w:r w:rsidR="002E24C0">
        <w:rPr>
          <w:rFonts w:ascii="Times New Roman" w:hAnsi="Times New Roman" w:cs="Times New Roman"/>
          <w:sz w:val="24"/>
          <w:szCs w:val="24"/>
        </w:rPr>
        <w:t>to evaluate the safety profile of spironolactone and eplerenone in patients with congestive heart failure.</w:t>
      </w:r>
    </w:p>
    <w:p w14:paraId="020E6881" w14:textId="77777777" w:rsidR="00B96115" w:rsidRPr="002E24C0" w:rsidRDefault="00B96115" w:rsidP="00B96115">
      <w:pPr>
        <w:rPr>
          <w:rFonts w:ascii="Times New Roman" w:hAnsi="Times New Roman" w:cs="Times New Roman"/>
          <w:sz w:val="24"/>
          <w:szCs w:val="24"/>
        </w:rPr>
      </w:pPr>
      <w:r>
        <w:rPr>
          <w:rFonts w:ascii="Times New Roman" w:hAnsi="Times New Roman" w:cs="Times New Roman"/>
          <w:b/>
          <w:sz w:val="24"/>
          <w:szCs w:val="24"/>
        </w:rPr>
        <w:t>Methods:</w:t>
      </w:r>
      <w:r w:rsidR="002E24C0">
        <w:rPr>
          <w:rFonts w:ascii="Times New Roman" w:hAnsi="Times New Roman" w:cs="Times New Roman"/>
          <w:sz w:val="24"/>
          <w:szCs w:val="24"/>
        </w:rPr>
        <w:t xml:space="preserve"> This retrospective chart review assessed patients 18 years and older with an ICD-9 or ICD-10-CM code of heart failure. Additionally, included patients were taking spironolactone or eplerenone and had an outpatient encounter at MUSC Health between 07/01/2014 and 03/31/2021. The exclusion criteria involved patients with stage 5 CKD or end-stage renal disease, as well as patients who were taking medications that significantly altered potassium levels. The primary safety outcomes included change in serum potassium, systolic and diastolic blood pressure, and serum creatinine from baseline to the</w:t>
      </w:r>
      <w:r w:rsidR="00D31126">
        <w:rPr>
          <w:rFonts w:ascii="Times New Roman" w:hAnsi="Times New Roman" w:cs="Times New Roman"/>
          <w:sz w:val="24"/>
          <w:szCs w:val="24"/>
        </w:rPr>
        <w:t xml:space="preserve"> first follow-up measurement after agent initiation</w:t>
      </w:r>
      <w:r w:rsidR="002E24C0">
        <w:rPr>
          <w:rFonts w:ascii="Times New Roman" w:hAnsi="Times New Roman" w:cs="Times New Roman"/>
          <w:sz w:val="24"/>
          <w:szCs w:val="24"/>
        </w:rPr>
        <w:t>. Secondary safety outcomes included thromboembolic events and sexual dysfunction</w:t>
      </w:r>
      <w:r w:rsidR="001520C4">
        <w:rPr>
          <w:rFonts w:ascii="Times New Roman" w:hAnsi="Times New Roman" w:cs="Times New Roman"/>
          <w:sz w:val="24"/>
          <w:szCs w:val="24"/>
        </w:rPr>
        <w:t>. Lastly, resource utilization outcomes, such as the number of CHF exacerbations and all-cause hospital admissions one year following initiation of the aldosterone receptor antagonist</w:t>
      </w:r>
      <w:r w:rsidR="00D31126">
        <w:rPr>
          <w:rFonts w:ascii="Times New Roman" w:hAnsi="Times New Roman" w:cs="Times New Roman"/>
          <w:sz w:val="24"/>
          <w:szCs w:val="24"/>
        </w:rPr>
        <w:t>,</w:t>
      </w:r>
      <w:r w:rsidR="001520C4">
        <w:rPr>
          <w:rFonts w:ascii="Times New Roman" w:hAnsi="Times New Roman" w:cs="Times New Roman"/>
          <w:sz w:val="24"/>
          <w:szCs w:val="24"/>
        </w:rPr>
        <w:t xml:space="preserve"> were analyzed. Descriptive statistics were used for the demographic data, while t-tests and Mann-Whitney U tests were used for continuous data. Chi-squared tests were utilized for the categorical data.</w:t>
      </w:r>
    </w:p>
    <w:p w14:paraId="7DCBC459" w14:textId="14E00936" w:rsidR="00B96115" w:rsidRPr="00663750" w:rsidRDefault="00B96115" w:rsidP="00B96115">
      <w:pPr>
        <w:rPr>
          <w:rFonts w:ascii="Times New Roman" w:hAnsi="Times New Roman" w:cs="Times New Roman"/>
          <w:sz w:val="24"/>
          <w:szCs w:val="24"/>
        </w:rPr>
      </w:pPr>
      <w:r>
        <w:rPr>
          <w:rFonts w:ascii="Times New Roman" w:hAnsi="Times New Roman" w:cs="Times New Roman"/>
          <w:b/>
          <w:sz w:val="24"/>
          <w:szCs w:val="24"/>
        </w:rPr>
        <w:t>Results:</w:t>
      </w:r>
      <w:r w:rsidR="00663750">
        <w:rPr>
          <w:rFonts w:ascii="Times New Roman" w:hAnsi="Times New Roman" w:cs="Times New Roman"/>
          <w:sz w:val="24"/>
          <w:szCs w:val="24"/>
        </w:rPr>
        <w:t xml:space="preserve"> A total of 178 patients with a diagnosis of heart failure from the pre-specifi</w:t>
      </w:r>
      <w:r w:rsidR="00D31126">
        <w:rPr>
          <w:rFonts w:ascii="Times New Roman" w:hAnsi="Times New Roman" w:cs="Times New Roman"/>
          <w:sz w:val="24"/>
          <w:szCs w:val="24"/>
        </w:rPr>
        <w:t>ed</w:t>
      </w:r>
      <w:r w:rsidR="00663750">
        <w:rPr>
          <w:rFonts w:ascii="Times New Roman" w:hAnsi="Times New Roman" w:cs="Times New Roman"/>
          <w:sz w:val="24"/>
          <w:szCs w:val="24"/>
        </w:rPr>
        <w:t xml:space="preserve"> time period were included. From the baseline demographic data, there were significant differences with more males taking eplerenone </w:t>
      </w:r>
      <w:r w:rsidR="00D31126">
        <w:rPr>
          <w:rFonts w:ascii="Times New Roman" w:hAnsi="Times New Roman" w:cs="Times New Roman"/>
          <w:sz w:val="24"/>
          <w:szCs w:val="24"/>
        </w:rPr>
        <w:t xml:space="preserve">(57% vs. 91%, p &lt; 0.001) </w:t>
      </w:r>
      <w:r w:rsidR="00663750">
        <w:rPr>
          <w:rFonts w:ascii="Times New Roman" w:hAnsi="Times New Roman" w:cs="Times New Roman"/>
          <w:sz w:val="24"/>
          <w:szCs w:val="24"/>
        </w:rPr>
        <w:t>and more patients on higher doses of eplerenone</w:t>
      </w:r>
      <w:r w:rsidR="00D31126">
        <w:rPr>
          <w:rFonts w:ascii="Times New Roman" w:hAnsi="Times New Roman" w:cs="Times New Roman"/>
          <w:sz w:val="24"/>
          <w:szCs w:val="24"/>
        </w:rPr>
        <w:t xml:space="preserve"> (13% vs. 31%, p 0.004)</w:t>
      </w:r>
      <w:r w:rsidR="00663750">
        <w:rPr>
          <w:rFonts w:ascii="Times New Roman" w:hAnsi="Times New Roman" w:cs="Times New Roman"/>
          <w:sz w:val="24"/>
          <w:szCs w:val="24"/>
        </w:rPr>
        <w:t>, classified as 50 mg or more. When looking at the change in serum potassium, systolic and diastolic blood pressure, and serum creatinine from baseline to the first follow</w:t>
      </w:r>
      <w:r w:rsidR="00D31126">
        <w:rPr>
          <w:rFonts w:ascii="Times New Roman" w:hAnsi="Times New Roman" w:cs="Times New Roman"/>
          <w:sz w:val="24"/>
          <w:szCs w:val="24"/>
        </w:rPr>
        <w:t>-</w:t>
      </w:r>
      <w:r w:rsidR="00663750">
        <w:rPr>
          <w:rFonts w:ascii="Times New Roman" w:hAnsi="Times New Roman" w:cs="Times New Roman"/>
          <w:sz w:val="24"/>
          <w:szCs w:val="24"/>
        </w:rPr>
        <w:t>up measure</w:t>
      </w:r>
      <w:r w:rsidR="00D31126">
        <w:rPr>
          <w:rFonts w:ascii="Times New Roman" w:hAnsi="Times New Roman" w:cs="Times New Roman"/>
          <w:sz w:val="24"/>
          <w:szCs w:val="24"/>
        </w:rPr>
        <w:t>ment</w:t>
      </w:r>
      <w:r w:rsidR="00663750">
        <w:rPr>
          <w:rFonts w:ascii="Times New Roman" w:hAnsi="Times New Roman" w:cs="Times New Roman"/>
          <w:sz w:val="24"/>
          <w:szCs w:val="24"/>
        </w:rPr>
        <w:t>, there were no significant differences seen. Moreover, there were no significant differences in</w:t>
      </w:r>
      <w:r w:rsidR="00D31126">
        <w:rPr>
          <w:rFonts w:ascii="Times New Roman" w:hAnsi="Times New Roman" w:cs="Times New Roman"/>
          <w:sz w:val="24"/>
          <w:szCs w:val="24"/>
        </w:rPr>
        <w:t xml:space="preserve"> the</w:t>
      </w:r>
      <w:r w:rsidR="00663750">
        <w:rPr>
          <w:rFonts w:ascii="Times New Roman" w:hAnsi="Times New Roman" w:cs="Times New Roman"/>
          <w:sz w:val="24"/>
          <w:szCs w:val="24"/>
        </w:rPr>
        <w:t xml:space="preserve"> number of patients who experienced thromboembolic events or sexual dysfunction. There were no differences in resource utilization outcomes between the two groups initially; however, a significant difference was shown in the subgroup analysis of patients with HFrEF (n = 98)</w:t>
      </w:r>
      <w:r w:rsidR="00D31126">
        <w:rPr>
          <w:rFonts w:ascii="Times New Roman" w:hAnsi="Times New Roman" w:cs="Times New Roman"/>
          <w:sz w:val="24"/>
          <w:szCs w:val="24"/>
        </w:rPr>
        <w:t xml:space="preserve">. Within this group, 20 patients taking spironolactone had all-cause admission(s) after aldosterone antagonist initiation versus </w:t>
      </w:r>
      <w:r w:rsidR="00B74226">
        <w:rPr>
          <w:rFonts w:ascii="Times New Roman" w:hAnsi="Times New Roman" w:cs="Times New Roman"/>
          <w:sz w:val="24"/>
          <w:szCs w:val="24"/>
        </w:rPr>
        <w:t xml:space="preserve">8 </w:t>
      </w:r>
      <w:r w:rsidR="00D31126">
        <w:rPr>
          <w:rFonts w:ascii="Times New Roman" w:hAnsi="Times New Roman" w:cs="Times New Roman"/>
          <w:sz w:val="24"/>
          <w:szCs w:val="24"/>
        </w:rPr>
        <w:t>patients taking eplerenone (37% vs. 18%, p = 0.04)</w:t>
      </w:r>
    </w:p>
    <w:p w14:paraId="0D387FFA" w14:textId="659EF120" w:rsidR="00B96115" w:rsidRPr="001520C4" w:rsidRDefault="00B96115" w:rsidP="00B96115">
      <w:pPr>
        <w:rPr>
          <w:rFonts w:ascii="Times New Roman" w:hAnsi="Times New Roman" w:cs="Times New Roman"/>
          <w:sz w:val="24"/>
          <w:szCs w:val="24"/>
        </w:rPr>
      </w:pPr>
      <w:r>
        <w:rPr>
          <w:rFonts w:ascii="Times New Roman" w:hAnsi="Times New Roman" w:cs="Times New Roman"/>
          <w:b/>
          <w:sz w:val="24"/>
          <w:szCs w:val="24"/>
        </w:rPr>
        <w:t>Conclusion:</w:t>
      </w:r>
      <w:r w:rsidR="001520C4">
        <w:rPr>
          <w:rFonts w:ascii="Times New Roman" w:hAnsi="Times New Roman" w:cs="Times New Roman"/>
          <w:sz w:val="24"/>
          <w:szCs w:val="24"/>
        </w:rPr>
        <w:t xml:space="preserve"> There are no statistically significant differences between eplerenone and spironolactone in terms of safety profile. </w:t>
      </w:r>
      <w:r w:rsidR="00D31126">
        <w:rPr>
          <w:rFonts w:ascii="Times New Roman" w:hAnsi="Times New Roman" w:cs="Times New Roman"/>
          <w:sz w:val="24"/>
          <w:szCs w:val="24"/>
        </w:rPr>
        <w:t>Eplerenone may be a preferred treatment option if concerns for gynecomastia, part</w:t>
      </w:r>
      <w:bookmarkStart w:id="0" w:name="_GoBack"/>
      <w:bookmarkEnd w:id="0"/>
      <w:r w:rsidR="00D31126">
        <w:rPr>
          <w:rFonts w:ascii="Times New Roman" w:hAnsi="Times New Roman" w:cs="Times New Roman"/>
          <w:sz w:val="24"/>
          <w:szCs w:val="24"/>
        </w:rPr>
        <w:t xml:space="preserve">icularly in the male population. In the HFrEF cohort, when </w:t>
      </w:r>
      <w:r w:rsidR="00D31126">
        <w:rPr>
          <w:rFonts w:ascii="Times New Roman" w:hAnsi="Times New Roman" w:cs="Times New Roman"/>
          <w:sz w:val="24"/>
          <w:szCs w:val="24"/>
        </w:rPr>
        <w:lastRenderedPageBreak/>
        <w:t xml:space="preserve">looking at </w:t>
      </w:r>
      <w:r w:rsidR="001520C4">
        <w:rPr>
          <w:rFonts w:ascii="Times New Roman" w:hAnsi="Times New Roman" w:cs="Times New Roman"/>
          <w:sz w:val="24"/>
          <w:szCs w:val="24"/>
        </w:rPr>
        <w:t xml:space="preserve">resource utilization, </w:t>
      </w:r>
      <w:r w:rsidR="00D31126">
        <w:rPr>
          <w:rFonts w:ascii="Times New Roman" w:hAnsi="Times New Roman" w:cs="Times New Roman"/>
          <w:sz w:val="24"/>
          <w:szCs w:val="24"/>
        </w:rPr>
        <w:t>patients taking spironolactone were</w:t>
      </w:r>
      <w:r w:rsidR="001520C4">
        <w:rPr>
          <w:rFonts w:ascii="Times New Roman" w:hAnsi="Times New Roman" w:cs="Times New Roman"/>
          <w:sz w:val="24"/>
          <w:szCs w:val="24"/>
        </w:rPr>
        <w:t xml:space="preserve"> associated with </w:t>
      </w:r>
      <w:r w:rsidR="005E3D7A">
        <w:rPr>
          <w:rFonts w:ascii="Times New Roman" w:hAnsi="Times New Roman" w:cs="Times New Roman"/>
          <w:sz w:val="24"/>
          <w:szCs w:val="24"/>
        </w:rPr>
        <w:t>higher rates o</w:t>
      </w:r>
      <w:r w:rsidR="001520C4">
        <w:rPr>
          <w:rFonts w:ascii="Times New Roman" w:hAnsi="Times New Roman" w:cs="Times New Roman"/>
          <w:sz w:val="24"/>
          <w:szCs w:val="24"/>
        </w:rPr>
        <w:t>f all-cause admissions following medication initiation.</w:t>
      </w:r>
    </w:p>
    <w:sectPr w:rsidR="00B96115" w:rsidRPr="001520C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AAB9" w16cex:dateUtc="2022-05-06T18:10:00Z"/>
  <w16cex:commentExtensible w16cex:durableId="261FAB8C" w16cex:dateUtc="2022-05-06T18:1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11"/>
    <w:rsid w:val="001520C4"/>
    <w:rsid w:val="002E24C0"/>
    <w:rsid w:val="004D11A6"/>
    <w:rsid w:val="004E5545"/>
    <w:rsid w:val="005434A2"/>
    <w:rsid w:val="00553244"/>
    <w:rsid w:val="005D4FB1"/>
    <w:rsid w:val="005E3D7A"/>
    <w:rsid w:val="00663750"/>
    <w:rsid w:val="006F0971"/>
    <w:rsid w:val="008D5807"/>
    <w:rsid w:val="00B0394E"/>
    <w:rsid w:val="00B74226"/>
    <w:rsid w:val="00B96115"/>
    <w:rsid w:val="00BD05BE"/>
    <w:rsid w:val="00C53911"/>
    <w:rsid w:val="00D31126"/>
    <w:rsid w:val="00DA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7D06"/>
  <w15:chartTrackingRefBased/>
  <w15:docId w15:val="{AF549647-46B4-4519-A4CF-6B4AB0ED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53244"/>
    <w:pPr>
      <w:spacing w:after="0" w:line="240" w:lineRule="auto"/>
    </w:pPr>
  </w:style>
  <w:style w:type="character" w:styleId="CommentReference">
    <w:name w:val="annotation reference"/>
    <w:basedOn w:val="DefaultParagraphFont"/>
    <w:uiPriority w:val="99"/>
    <w:semiHidden/>
    <w:unhideWhenUsed/>
    <w:rsid w:val="00B74226"/>
    <w:rPr>
      <w:sz w:val="16"/>
      <w:szCs w:val="16"/>
    </w:rPr>
  </w:style>
  <w:style w:type="paragraph" w:styleId="CommentText">
    <w:name w:val="annotation text"/>
    <w:basedOn w:val="Normal"/>
    <w:link w:val="CommentTextChar"/>
    <w:uiPriority w:val="99"/>
    <w:semiHidden/>
    <w:unhideWhenUsed/>
    <w:rsid w:val="00B74226"/>
    <w:pPr>
      <w:spacing w:line="240" w:lineRule="auto"/>
    </w:pPr>
    <w:rPr>
      <w:sz w:val="20"/>
      <w:szCs w:val="20"/>
    </w:rPr>
  </w:style>
  <w:style w:type="character" w:customStyle="1" w:styleId="CommentTextChar">
    <w:name w:val="Comment Text Char"/>
    <w:basedOn w:val="DefaultParagraphFont"/>
    <w:link w:val="CommentText"/>
    <w:uiPriority w:val="99"/>
    <w:semiHidden/>
    <w:rsid w:val="00B74226"/>
    <w:rPr>
      <w:sz w:val="20"/>
      <w:szCs w:val="20"/>
    </w:rPr>
  </w:style>
  <w:style w:type="paragraph" w:styleId="CommentSubject">
    <w:name w:val="annotation subject"/>
    <w:basedOn w:val="CommentText"/>
    <w:next w:val="CommentText"/>
    <w:link w:val="CommentSubjectChar"/>
    <w:uiPriority w:val="99"/>
    <w:semiHidden/>
    <w:unhideWhenUsed/>
    <w:rsid w:val="00B74226"/>
    <w:rPr>
      <w:b/>
      <w:bCs/>
    </w:rPr>
  </w:style>
  <w:style w:type="character" w:customStyle="1" w:styleId="CommentSubjectChar">
    <w:name w:val="Comment Subject Char"/>
    <w:basedOn w:val="CommentTextChar"/>
    <w:link w:val="CommentSubject"/>
    <w:uiPriority w:val="99"/>
    <w:semiHidden/>
    <w:rsid w:val="00B74226"/>
    <w:rPr>
      <w:b/>
      <w:bCs/>
      <w:sz w:val="20"/>
      <w:szCs w:val="20"/>
    </w:rPr>
  </w:style>
  <w:style w:type="paragraph" w:styleId="BalloonText">
    <w:name w:val="Balloon Text"/>
    <w:basedOn w:val="Normal"/>
    <w:link w:val="BalloonTextChar"/>
    <w:uiPriority w:val="99"/>
    <w:semiHidden/>
    <w:unhideWhenUsed/>
    <w:rsid w:val="00DA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Muehrcke, Maria Nicole</dc:creator>
  <cp:keywords/>
  <dc:description/>
  <cp:lastModifiedBy>Muehrcke, Maria Nicole</cp:lastModifiedBy>
  <cp:revision>2</cp:revision>
  <dcterms:created xsi:type="dcterms:W3CDTF">2022-05-07T00:30:00Z</dcterms:created>
  <dcterms:modified xsi:type="dcterms:W3CDTF">2022-05-07T00:30:00Z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1631235582</vt:i4>
  </property>
  <property fmtid="{D5CDD505-2E9C-101B-9397-08002B2CF9AE}" pid="3" name="_NewReviewCycle">
    <vt:lpwstr/>
  </property>
  <property fmtid="{D5CDD505-2E9C-101B-9397-08002B2CF9AE}" pid="4" name="_EmailSubject">
    <vt:lpwstr>UNC REPS Materials</vt:lpwstr>
  </property>
  <property fmtid="{D5CDD505-2E9C-101B-9397-08002B2CF9AE}" pid="5" name="_AuthorEmail">
    <vt:lpwstr>muehrcke@musc.edu</vt:lpwstr>
  </property>
  <property fmtid="{D5CDD505-2E9C-101B-9397-08002B2CF9AE}" pid="6" name="_AuthorEmailDisplayName">
    <vt:lpwstr>Muehrcke, Maria Nicole</vt:lpwstr>
  </property>
</Properties>
</file>