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453A5" w14:textId="5363C621" w:rsidR="003342F8" w:rsidRDefault="004812BE">
      <w:r>
        <w:t>Authors:</w:t>
      </w:r>
      <w:r w:rsidR="00C00029">
        <w:t xml:space="preserve"> C. Morgan Morrell, Angela Holian, Nathan Charlton, Mary Lewis Griffin </w:t>
      </w:r>
    </w:p>
    <w:p w14:paraId="0B53CFEC" w14:textId="295C57FE" w:rsidR="004812BE" w:rsidRDefault="004812BE"/>
    <w:p w14:paraId="56A87B25" w14:textId="3F54329C" w:rsidR="004812BE" w:rsidRDefault="004812BE">
      <w:r>
        <w:t>Practice Site: UVA Health</w:t>
      </w:r>
      <w:r w:rsidR="00C00029">
        <w:t xml:space="preserve">, Charlottesville, Virginia </w:t>
      </w:r>
    </w:p>
    <w:p w14:paraId="06F7E6AE" w14:textId="6F59567B" w:rsidR="004812BE" w:rsidRDefault="004812BE"/>
    <w:p w14:paraId="78FE039A" w14:textId="610A1E69" w:rsidR="00745355" w:rsidRDefault="004812BE">
      <w:r>
        <w:t xml:space="preserve">Background: </w:t>
      </w:r>
      <w:r w:rsidR="00745355">
        <w:t>Cannabinoid Hyperemesis Syndrome (CHS) is a syndrome comprised of cyclic nausea, vomiting, and abdominal pain in the setting of regular cannabis use. Emergency departments are faced with the challenge of treating CHS patients</w:t>
      </w:r>
      <w:r w:rsidR="007D1877">
        <w:t>,</w:t>
      </w:r>
      <w:r w:rsidR="00745355">
        <w:t xml:space="preserve"> often refractory to traditional antiemetic therapies, </w:t>
      </w:r>
      <w:r w:rsidR="007D1877">
        <w:t xml:space="preserve">particularly </w:t>
      </w:r>
      <w:r w:rsidR="00745355">
        <w:t>as cannabis has become legalized or decriminalized throughout th</w:t>
      </w:r>
      <w:r w:rsidR="007D1877">
        <w:t xml:space="preserve">e United States. The increasing body of evidence suggests topical capsaicin is an effective treatment for CHS. </w:t>
      </w:r>
    </w:p>
    <w:p w14:paraId="0432149F" w14:textId="104DC4DF" w:rsidR="004812BE" w:rsidRDefault="004812BE"/>
    <w:p w14:paraId="12865FD4" w14:textId="42C96AAB" w:rsidR="004812BE" w:rsidRDefault="004812BE">
      <w:r>
        <w:t xml:space="preserve">Objective: </w:t>
      </w:r>
      <w:r w:rsidR="003A7873">
        <w:t>We sought to</w:t>
      </w:r>
      <w:r w:rsidR="00666848">
        <w:t xml:space="preserve"> collect </w:t>
      </w:r>
      <w:r w:rsidR="0056510E">
        <w:t xml:space="preserve">preliminary outcomes in order to </w:t>
      </w:r>
      <w:r w:rsidR="00666848">
        <w:t>determine if topical capsaicin provides symptomatic relief</w:t>
      </w:r>
      <w:r w:rsidR="0056510E">
        <w:t xml:space="preserve">, reduces need for additional medications, and conserves hospital resources for patients with </w:t>
      </w:r>
      <w:r w:rsidR="00745355">
        <w:t xml:space="preserve">presumed </w:t>
      </w:r>
      <w:r w:rsidR="0056510E">
        <w:t xml:space="preserve">CHS. </w:t>
      </w:r>
    </w:p>
    <w:p w14:paraId="6E365B96" w14:textId="36646D5F" w:rsidR="004812BE" w:rsidRDefault="004812BE"/>
    <w:p w14:paraId="45C4B44C" w14:textId="6898F1C0" w:rsidR="004812BE" w:rsidRDefault="004812BE">
      <w:r>
        <w:t>Methods: This was a randomized</w:t>
      </w:r>
      <w:r w:rsidR="00E62CC2">
        <w:t xml:space="preserve">, double-blind, </w:t>
      </w:r>
      <w:r w:rsidR="00666848">
        <w:t>placebo-</w:t>
      </w:r>
      <w:r>
        <w:t xml:space="preserve">controlled pilot trial conducted in the emergency department </w:t>
      </w:r>
      <w:r w:rsidR="001C10C8">
        <w:t>at</w:t>
      </w:r>
      <w:r>
        <w:t xml:space="preserve"> an academic medical center. </w:t>
      </w:r>
      <w:r w:rsidR="004F76CA">
        <w:t>The study enrolled patients from November 23, 2020 through April 1</w:t>
      </w:r>
      <w:r w:rsidR="0056510E">
        <w:t>,</w:t>
      </w:r>
      <w:r w:rsidR="004F76CA">
        <w:t xml:space="preserve"> 2022. </w:t>
      </w:r>
      <w:r w:rsidR="003A7873">
        <w:t>Patients 18 years</w:t>
      </w:r>
      <w:r w:rsidR="00C00029">
        <w:t xml:space="preserve"> or older with suspected cannabinoid hyperemesis syndrome were eligible for enrollment. Patients were excluded if they were pregnant, prisoners,</w:t>
      </w:r>
      <w:r w:rsidR="00666848">
        <w:t xml:space="preserve"> determined to have an alternative diagnosis responsible f</w:t>
      </w:r>
      <w:bookmarkStart w:id="0" w:name="_GoBack"/>
      <w:bookmarkEnd w:id="0"/>
      <w:r w:rsidR="00666848">
        <w:t xml:space="preserve">or nausea and vomiting, </w:t>
      </w:r>
      <w:r w:rsidR="00E62CC2">
        <w:t xml:space="preserve">or </w:t>
      </w:r>
      <w:r w:rsidR="001C10C8">
        <w:t xml:space="preserve">received more than 2 antiemetics </w:t>
      </w:r>
      <w:r w:rsidR="00C00029">
        <w:t xml:space="preserve">or haloperidol prior to randomization. </w:t>
      </w:r>
      <w:r w:rsidR="00666848">
        <w:t xml:space="preserve">Patients were randomized </w:t>
      </w:r>
      <w:r w:rsidR="001C10C8">
        <w:t xml:space="preserve">1:1 </w:t>
      </w:r>
      <w:r w:rsidR="00666848">
        <w:t xml:space="preserve">to topical </w:t>
      </w:r>
      <w:r w:rsidR="003A7873">
        <w:t xml:space="preserve">0.075% </w:t>
      </w:r>
      <w:r w:rsidR="00666848">
        <w:t xml:space="preserve">capsaicin </w:t>
      </w:r>
      <w:r w:rsidR="003A7873">
        <w:t xml:space="preserve">cream </w:t>
      </w:r>
      <w:r w:rsidR="00666848">
        <w:t>or placebo</w:t>
      </w:r>
      <w:r w:rsidR="0056510E">
        <w:t xml:space="preserve"> moisturizing cream</w:t>
      </w:r>
      <w:r w:rsidR="00666848">
        <w:t xml:space="preserve"> placed on the abdomen in a standardized </w:t>
      </w:r>
      <w:r w:rsidR="0056510E">
        <w:t xml:space="preserve">fashion. </w:t>
      </w:r>
      <w:r w:rsidR="00AE1AAA">
        <w:t xml:space="preserve">The </w:t>
      </w:r>
      <w:r w:rsidR="00666848">
        <w:t>primary outcome was clinical improvemen</w:t>
      </w:r>
      <w:r w:rsidR="0075523D">
        <w:t xml:space="preserve">t </w:t>
      </w:r>
      <w:r w:rsidR="0056510E">
        <w:t xml:space="preserve">post-treatment </w:t>
      </w:r>
      <w:r w:rsidR="0075523D">
        <w:t>defined as decrease in pain</w:t>
      </w:r>
      <w:r w:rsidR="0056510E">
        <w:t xml:space="preserve"> score</w:t>
      </w:r>
      <w:r w:rsidR="00666848">
        <w:t xml:space="preserve">. </w:t>
      </w:r>
      <w:r w:rsidR="0056510E">
        <w:t>Other</w:t>
      </w:r>
      <w:r w:rsidR="00AE1AAA">
        <w:t xml:space="preserve"> outcomes included median change in pain score, receipt of anti-emetics, haloperidol, length of stay, hospital admission, adverse effects, compliance</w:t>
      </w:r>
      <w:r w:rsidR="0056510E">
        <w:t>, and 30-day follow up survey results</w:t>
      </w:r>
      <w:r w:rsidR="00AE1AAA">
        <w:t xml:space="preserve">. </w:t>
      </w:r>
      <w:r w:rsidR="0056510E">
        <w:t xml:space="preserve">Pain was assessed using the Visual Analog Scale (VAS). </w:t>
      </w:r>
    </w:p>
    <w:p w14:paraId="5A4EA6E3" w14:textId="16653EE4" w:rsidR="004812BE" w:rsidRDefault="004812BE"/>
    <w:p w14:paraId="452A5DEF" w14:textId="108086AC" w:rsidR="004812BE" w:rsidRDefault="004812BE">
      <w:r>
        <w:t xml:space="preserve">Preliminary Results: </w:t>
      </w:r>
      <w:r w:rsidR="00AE1AAA">
        <w:t xml:space="preserve">This pilot trial </w:t>
      </w:r>
      <w:r w:rsidR="00AE1AAA" w:rsidRPr="0075523D">
        <w:t>enrolled</w:t>
      </w:r>
      <w:r w:rsidR="00FD4703">
        <w:t xml:space="preserve"> 20 patients, 1</w:t>
      </w:r>
      <w:r w:rsidR="0075523D">
        <w:t xml:space="preserve">7of whom were randomized. Eight </w:t>
      </w:r>
      <w:r w:rsidR="00FD4703">
        <w:t>patients received capsaicin</w:t>
      </w:r>
      <w:r w:rsidR="0075523D">
        <w:t>,</w:t>
      </w:r>
      <w:r w:rsidR="00FD4703">
        <w:t xml:space="preserve"> and nine received placebo. </w:t>
      </w:r>
      <w:r w:rsidR="0067541A">
        <w:t xml:space="preserve">Five (63%) patients in the capsaicin group and three (38%) in the placebo group </w:t>
      </w:r>
      <w:r w:rsidR="0067541A">
        <w:t>reported reduction in pain using the VAS</w:t>
      </w:r>
      <w:r w:rsidR="0067541A">
        <w:t xml:space="preserve"> (</w:t>
      </w:r>
      <w:r w:rsidR="0067541A" w:rsidRPr="0067541A">
        <w:rPr>
          <w:i/>
        </w:rPr>
        <w:t>p</w:t>
      </w:r>
      <w:r w:rsidR="0067541A">
        <w:t xml:space="preserve"> = 0.315). </w:t>
      </w:r>
      <w:r w:rsidR="00612D34">
        <w:t>A higher proportion of patients in the capsaicin group received haloperidol or other antiemetic therapy (63% v 44%</w:t>
      </w:r>
      <w:r w:rsidR="0067541A">
        <w:t>, p &gt; 0.99</w:t>
      </w:r>
      <w:r w:rsidR="00612D34">
        <w:t>), required hospital admission (38% v 11%</w:t>
      </w:r>
      <w:r w:rsidR="0067541A">
        <w:t xml:space="preserve">, </w:t>
      </w:r>
      <w:r w:rsidR="0067541A" w:rsidRPr="0067541A">
        <w:rPr>
          <w:i/>
        </w:rPr>
        <w:t>p</w:t>
      </w:r>
      <w:r w:rsidR="0067541A">
        <w:t xml:space="preserve"> = 0.294</w:t>
      </w:r>
      <w:r w:rsidR="00612D34">
        <w:t>), and had a longer median length of stay (407 minutes v 153 minutes</w:t>
      </w:r>
      <w:r w:rsidR="0067541A">
        <w:t xml:space="preserve">, </w:t>
      </w:r>
      <w:r w:rsidR="0067541A" w:rsidRPr="0067541A">
        <w:rPr>
          <w:i/>
        </w:rPr>
        <w:t>p</w:t>
      </w:r>
      <w:r w:rsidR="0067541A">
        <w:t xml:space="preserve"> = 0.083</w:t>
      </w:r>
      <w:r w:rsidR="00612D34">
        <w:t>)</w:t>
      </w:r>
      <w:r w:rsidR="0067541A">
        <w:t>.</w:t>
      </w:r>
    </w:p>
    <w:p w14:paraId="0FDC6589" w14:textId="152FE667" w:rsidR="004812BE" w:rsidRDefault="004812BE"/>
    <w:p w14:paraId="7EE196D9" w14:textId="77777777" w:rsidR="00000000" w:rsidRPr="0067541A" w:rsidRDefault="004812BE" w:rsidP="0067541A">
      <w:r>
        <w:t xml:space="preserve">Conclusions: </w:t>
      </w:r>
      <w:r w:rsidR="00EE0A0C" w:rsidRPr="007D1877">
        <w:t>In patients with presumed CHS treated with topical capsaicin, no statistically significant difference in proportion of patients with pain reduction compared to placebo was observed.</w:t>
      </w:r>
      <w:r w:rsidR="007D1877">
        <w:t xml:space="preserve"> </w:t>
      </w:r>
      <w:r w:rsidR="00EE0A0C" w:rsidRPr="007D1877">
        <w:t>Though not statistically significant, interesting findings include higher proportion of rescue antiemetic received, hospital admissions, and longer media</w:t>
      </w:r>
      <w:r w:rsidR="00EE0A0C" w:rsidRPr="007D1877">
        <w:t>n length of stay in the capsaicin group.</w:t>
      </w:r>
      <w:r w:rsidR="0067541A">
        <w:t xml:space="preserve"> </w:t>
      </w:r>
      <w:r w:rsidR="00EE0A0C" w:rsidRPr="0067541A">
        <w:t>This was a pilot study with several limitations including small sample size, but its results add to the growing body of literature on capsaicin’s ro</w:t>
      </w:r>
      <w:r w:rsidR="00EE0A0C" w:rsidRPr="0067541A">
        <w:t xml:space="preserve">le in CHS and are hypothesis generating for future studies. </w:t>
      </w:r>
    </w:p>
    <w:p w14:paraId="28F864F6" w14:textId="7F6360C3" w:rsidR="00000000" w:rsidRPr="007D1877" w:rsidRDefault="00EE0A0C" w:rsidP="007D1877"/>
    <w:p w14:paraId="69A6C8A5" w14:textId="52BC1039" w:rsidR="004812BE" w:rsidRDefault="004812BE"/>
    <w:sectPr w:rsidR="004812BE" w:rsidSect="00EE3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436CB"/>
    <w:multiLevelType w:val="hybridMultilevel"/>
    <w:tmpl w:val="8EEA177C"/>
    <w:lvl w:ilvl="0" w:tplc="762C0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CAA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20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0A2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4C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0F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00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2A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64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697BA6"/>
    <w:multiLevelType w:val="hybridMultilevel"/>
    <w:tmpl w:val="E8D82E5E"/>
    <w:lvl w:ilvl="0" w:tplc="195A0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2A0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45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27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CA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A3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E7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B67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27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44A7DAC"/>
    <w:multiLevelType w:val="hybridMultilevel"/>
    <w:tmpl w:val="02EA0826"/>
    <w:lvl w:ilvl="0" w:tplc="199A7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87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CF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69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C0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6A2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86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44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C8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BE"/>
    <w:rsid w:val="001C10C8"/>
    <w:rsid w:val="002B3B31"/>
    <w:rsid w:val="003A7873"/>
    <w:rsid w:val="004812BE"/>
    <w:rsid w:val="004E6AAB"/>
    <w:rsid w:val="004F76CA"/>
    <w:rsid w:val="0056510E"/>
    <w:rsid w:val="005F6685"/>
    <w:rsid w:val="00612D34"/>
    <w:rsid w:val="00666848"/>
    <w:rsid w:val="0067541A"/>
    <w:rsid w:val="00745355"/>
    <w:rsid w:val="0075523D"/>
    <w:rsid w:val="007D1877"/>
    <w:rsid w:val="00AE1AAA"/>
    <w:rsid w:val="00C00029"/>
    <w:rsid w:val="00E62CC2"/>
    <w:rsid w:val="00EE3D21"/>
    <w:rsid w:val="00FC79A7"/>
    <w:rsid w:val="00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1FBE3"/>
  <w14:defaultImageDpi w14:val="32767"/>
  <w15:chartTrackingRefBased/>
  <w15:docId w15:val="{AB2489C6-EF4C-DA4A-99D2-671994F9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C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651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D1877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091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232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686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Morrell</dc:creator>
  <cp:keywords/>
  <dc:description/>
  <cp:lastModifiedBy>Morrell, Catherine M *HS</cp:lastModifiedBy>
  <cp:revision>2</cp:revision>
  <cp:lastPrinted>2022-05-05T19:31:00Z</cp:lastPrinted>
  <dcterms:created xsi:type="dcterms:W3CDTF">2022-05-06T22:39:00Z</dcterms:created>
  <dcterms:modified xsi:type="dcterms:W3CDTF">2022-05-06T22:39:00Z</dcterms:modified>
</cp:coreProperties>
</file>