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54AA4" w:rsidR="00BD0828" w:rsidP="17B1D3D3" w:rsidRDefault="00BD0828" w14:paraId="10EDB53A" w14:textId="68B9687F">
      <w:pPr>
        <w:spacing w:line="240" w:lineRule="auto"/>
        <w:rPr>
          <w:rFonts w:cs="Calibri" w:cstheme="minorAscii"/>
        </w:rPr>
      </w:pPr>
      <w:r w:rsidRPr="52112E28" w:rsidR="00BD0828">
        <w:rPr>
          <w:rFonts w:cs="Calibri" w:cstheme="minorAscii"/>
          <w:b w:val="1"/>
          <w:bCs w:val="1"/>
        </w:rPr>
        <w:t>Title</w:t>
      </w:r>
      <w:r w:rsidRPr="52112E28" w:rsidR="00BD0828">
        <w:rPr>
          <w:rFonts w:cs="Calibri" w:cstheme="minorAscii"/>
        </w:rPr>
        <w:t xml:space="preserve">: </w:t>
      </w:r>
      <w:r w:rsidRPr="52112E28" w:rsidR="537F7F34">
        <w:rPr>
          <w:rFonts w:cs="Calibri" w:cstheme="minorAscii"/>
        </w:rPr>
        <w:t>Optimizing the Continuation of Home Medications on Admission</w:t>
      </w:r>
      <w:r w:rsidRPr="52112E28" w:rsidR="2158B619">
        <w:rPr>
          <w:rFonts w:cs="Calibri" w:cstheme="minorAscii"/>
        </w:rPr>
        <w:t xml:space="preserve"> from the Emergency Room</w:t>
      </w:r>
      <w:r w:rsidRPr="52112E28" w:rsidR="537F7F34">
        <w:rPr>
          <w:rFonts w:cs="Calibri" w:cstheme="minorAscii"/>
        </w:rPr>
        <w:t xml:space="preserve"> Using Pharmacist Review</w:t>
      </w:r>
    </w:p>
    <w:p w:rsidRPr="00454AA4" w:rsidR="00487285" w:rsidP="52112E28" w:rsidRDefault="00487285" w14:paraId="0280DD36" w14:textId="0029439A">
      <w:pPr>
        <w:pStyle w:val="Normal"/>
        <w:spacing w:line="240" w:lineRule="auto"/>
        <w:rPr>
          <w:rFonts w:cs="Calibri" w:cstheme="minorAscii"/>
        </w:rPr>
      </w:pPr>
      <w:r w:rsidRPr="5FD3F698" w:rsidR="00487285">
        <w:rPr>
          <w:rFonts w:cs="Calibri" w:cstheme="minorAscii"/>
          <w:b w:val="1"/>
          <w:bCs w:val="1"/>
        </w:rPr>
        <w:t>Authors</w:t>
      </w:r>
      <w:r w:rsidRPr="5FD3F698" w:rsidR="00487285">
        <w:rPr>
          <w:rFonts w:cs="Calibri" w:cstheme="minorAscii"/>
        </w:rPr>
        <w:t xml:space="preserve">: </w:t>
      </w:r>
      <w:r w:rsidRPr="5FD3F698" w:rsidR="2A210121">
        <w:rPr>
          <w:rFonts w:cs="Calibri" w:cstheme="minorAscii"/>
        </w:rPr>
        <w:t>Mills</w:t>
      </w:r>
      <w:r w:rsidRPr="5FD3F698" w:rsidR="2A210121">
        <w:rPr>
          <w:rFonts w:cs="Calibri" w:cstheme="minorAscii"/>
        </w:rPr>
        <w:t xml:space="preserve"> S, </w:t>
      </w:r>
      <w:r w:rsidRPr="5FD3F698" w:rsidR="00487285">
        <w:rPr>
          <w:rFonts w:cs="Calibri" w:cstheme="minorAscii"/>
        </w:rPr>
        <w:t>Lippucci</w:t>
      </w:r>
      <w:r w:rsidRPr="5FD3F698" w:rsidR="00487285">
        <w:rPr>
          <w:rFonts w:cs="Calibri" w:cstheme="minorAscii"/>
        </w:rPr>
        <w:t xml:space="preserve"> A</w:t>
      </w:r>
      <w:r w:rsidRPr="5FD3F698" w:rsidR="0B96FD83">
        <w:rPr>
          <w:rFonts w:cs="Calibri" w:cstheme="minorAscii"/>
        </w:rPr>
        <w:t xml:space="preserve">, </w:t>
      </w:r>
      <w:r w:rsidRPr="5FD3F698" w:rsidR="00487285">
        <w:rPr>
          <w:rFonts w:cs="Calibri" w:cstheme="minorAscii"/>
        </w:rPr>
        <w:t>Maccia</w:t>
      </w:r>
      <w:r w:rsidRPr="5FD3F698" w:rsidR="00487285">
        <w:rPr>
          <w:rFonts w:cs="Calibri" w:cstheme="minorAscii"/>
        </w:rPr>
        <w:t xml:space="preserve"> M</w:t>
      </w:r>
      <w:r w:rsidRPr="5FD3F698" w:rsidR="0057623B">
        <w:rPr>
          <w:rFonts w:cs="Calibri" w:cstheme="minorAscii"/>
        </w:rPr>
        <w:t>,</w:t>
      </w:r>
      <w:r w:rsidRPr="5FD3F698" w:rsidR="0057623B">
        <w:rPr>
          <w:rFonts w:cs="Calibri" w:cstheme="minorAscii"/>
        </w:rPr>
        <w:t xml:space="preserve"> </w:t>
      </w:r>
      <w:r w:rsidRPr="5FD3F698" w:rsidR="7A733289">
        <w:rPr>
          <w:rFonts w:cs="Calibri" w:cstheme="minorAscii"/>
        </w:rPr>
        <w:t>Rumbarger R</w:t>
      </w:r>
    </w:p>
    <w:p w:rsidRPr="00454AA4" w:rsidR="00487285" w:rsidP="00FA0810" w:rsidRDefault="00487285" w14:paraId="63199AAA" w14:textId="31A6AD11">
      <w:pPr>
        <w:spacing w:line="240" w:lineRule="auto"/>
        <w:rPr>
          <w:rFonts w:cstheme="minorHAnsi"/>
        </w:rPr>
      </w:pPr>
      <w:r w:rsidRPr="00454AA4">
        <w:rPr>
          <w:rFonts w:cstheme="minorHAnsi"/>
          <w:b/>
          <w:bCs/>
        </w:rPr>
        <w:t>Practice Site</w:t>
      </w:r>
      <w:r w:rsidRPr="00454AA4">
        <w:rPr>
          <w:rFonts w:cstheme="minorHAnsi"/>
        </w:rPr>
        <w:t xml:space="preserve">: Moses H. Cone Memorial Hospital – Greensboro, North Carolina </w:t>
      </w:r>
    </w:p>
    <w:p w:rsidRPr="00454AA4" w:rsidR="00487285" w:rsidP="17B1D3D3" w:rsidRDefault="00487285" w14:paraId="30CD04B4" w14:textId="04D98094">
      <w:pPr>
        <w:pStyle w:val="Normal"/>
        <w:spacing w:line="240" w:lineRule="auto"/>
        <w:rPr>
          <w:rFonts w:cs="Calibri" w:cstheme="minorAscii"/>
        </w:rPr>
      </w:pPr>
      <w:r w:rsidRPr="52112E28" w:rsidR="00487285">
        <w:rPr>
          <w:rFonts w:cs="Calibri" w:cstheme="minorAscii"/>
          <w:b w:val="1"/>
          <w:bCs w:val="1"/>
        </w:rPr>
        <w:t>Purpose/Background:</w:t>
      </w:r>
      <w:r w:rsidRPr="52112E28" w:rsidR="00487285">
        <w:rPr>
          <w:rFonts w:cs="Calibri" w:cstheme="minorAscii"/>
        </w:rPr>
        <w:t xml:space="preserve"> </w:t>
      </w:r>
      <w:r w:rsidRPr="52112E28" w:rsidR="00F54B77">
        <w:rPr>
          <w:rFonts w:cs="Calibri" w:cstheme="minorAscii"/>
        </w:rPr>
        <w:t xml:space="preserve">As </w:t>
      </w:r>
      <w:r w:rsidRPr="52112E28" w:rsidR="49E19DAB">
        <w:rPr>
          <w:rFonts w:cs="Calibri" w:cstheme="minorAscii"/>
        </w:rPr>
        <w:t xml:space="preserve">patients </w:t>
      </w:r>
      <w:r w:rsidRPr="52112E28" w:rsidR="1785B320">
        <w:rPr>
          <w:rFonts w:cs="Calibri" w:cstheme="minorAscii"/>
        </w:rPr>
        <w:t xml:space="preserve">in the Emergency Department (ED) </w:t>
      </w:r>
      <w:r w:rsidRPr="52112E28" w:rsidR="49E19DAB">
        <w:rPr>
          <w:rFonts w:cs="Calibri" w:cstheme="minorAscii"/>
        </w:rPr>
        <w:t xml:space="preserve">are being treated for acute </w:t>
      </w:r>
      <w:r w:rsidRPr="52112E28" w:rsidR="4788E0FA">
        <w:rPr>
          <w:rFonts w:cs="Calibri" w:cstheme="minorAscii"/>
        </w:rPr>
        <w:t>conditions</w:t>
      </w:r>
      <w:r w:rsidRPr="52112E28" w:rsidR="49E19DAB">
        <w:rPr>
          <w:rFonts w:cs="Calibri" w:cstheme="minorAscii"/>
        </w:rPr>
        <w:t xml:space="preserve">, home </w:t>
      </w:r>
      <w:r w:rsidRPr="52112E28" w:rsidR="00F54B77">
        <w:rPr>
          <w:rFonts w:cs="Calibri" w:cstheme="minorAscii"/>
        </w:rPr>
        <w:t xml:space="preserve">medications </w:t>
      </w:r>
      <w:r w:rsidRPr="52112E28" w:rsidR="452D9D38">
        <w:rPr>
          <w:rFonts w:cs="Calibri" w:cstheme="minorAscii"/>
        </w:rPr>
        <w:t>may not be resumed or held appropriately. If patients are admi</w:t>
      </w:r>
      <w:r w:rsidRPr="52112E28" w:rsidR="404ED8A2">
        <w:rPr>
          <w:rFonts w:cs="Calibri" w:cstheme="minorAscii"/>
        </w:rPr>
        <w:t>tted to the hospital, there is a risk that these errors of omission are propagated</w:t>
      </w:r>
      <w:r w:rsidRPr="52112E28" w:rsidR="404ED8A2">
        <w:rPr>
          <w:rFonts w:cs="Calibri" w:cstheme="minorAscii"/>
        </w:rPr>
        <w:t>.</w:t>
      </w:r>
      <w:r w:rsidRPr="52112E28" w:rsidR="00F54B77">
        <w:rPr>
          <w:rFonts w:cs="Calibri" w:cstheme="minorAscii"/>
        </w:rPr>
        <w:t xml:space="preserve"> </w:t>
      </w:r>
      <w:r w:rsidRPr="52112E28" w:rsidR="00F54B77">
        <w:rPr>
          <w:rFonts w:cs="Calibri" w:cstheme="minorAscii"/>
        </w:rPr>
        <w:t>Lack of provider communication and accountability are major reasons for poor transitions of care.</w:t>
      </w:r>
      <w:r w:rsidRPr="52112E28" w:rsidR="00F54B77">
        <w:rPr>
          <w:rFonts w:cs="Calibri" w:cstheme="minorAscii"/>
          <w:vertAlign w:val="superscript"/>
        </w:rPr>
        <w:t xml:space="preserve"> </w:t>
      </w:r>
      <w:r w:rsidRPr="52112E28" w:rsidR="00F54B77">
        <w:rPr>
          <w:rFonts w:cs="Calibri" w:cstheme="minorAscii"/>
        </w:rPr>
        <w:t xml:space="preserve">A clinical pharmacist </w:t>
      </w:r>
      <w:r w:rsidRPr="52112E28" w:rsidR="00F54B77">
        <w:rPr>
          <w:rFonts w:cs="Calibri" w:cstheme="minorAscii"/>
        </w:rPr>
        <w:t xml:space="preserve">could fill this gap in care with review of patient medication lists upon </w:t>
      </w:r>
      <w:r w:rsidRPr="52112E28" w:rsidR="01048F11">
        <w:rPr>
          <w:rFonts w:cs="Calibri" w:cstheme="minorAscii"/>
        </w:rPr>
        <w:t xml:space="preserve">admission into the </w:t>
      </w:r>
      <w:r w:rsidRPr="52112E28" w:rsidR="0BB2B182">
        <w:rPr>
          <w:rFonts w:cs="Calibri" w:cstheme="minorAscii"/>
        </w:rPr>
        <w:t>hospital.</w:t>
      </w:r>
    </w:p>
    <w:p w:rsidRPr="00454AA4" w:rsidR="00487285" w:rsidP="17B1D3D3" w:rsidRDefault="00487285" w14:paraId="77F63DE9" w14:textId="3E01A0DD">
      <w:pPr>
        <w:spacing w:line="240" w:lineRule="auto"/>
        <w:rPr>
          <w:rFonts w:cs="Calibri" w:cstheme="minorAscii"/>
        </w:rPr>
      </w:pPr>
      <w:r w:rsidRPr="52112E28" w:rsidR="00487285">
        <w:rPr>
          <w:rFonts w:cs="Calibri" w:cstheme="minorAscii"/>
          <w:b w:val="1"/>
          <w:bCs w:val="1"/>
        </w:rPr>
        <w:t>Objective</w:t>
      </w:r>
      <w:r w:rsidRPr="52112E28" w:rsidR="00487285">
        <w:rPr>
          <w:rFonts w:cs="Calibri" w:cstheme="minorAscii"/>
        </w:rPr>
        <w:t>:</w:t>
      </w:r>
      <w:r w:rsidRPr="52112E28" w:rsidR="006125F6">
        <w:rPr>
          <w:rFonts w:cs="Calibri" w:cstheme="minorAscii"/>
        </w:rPr>
        <w:t xml:space="preserve"> </w:t>
      </w:r>
      <w:r w:rsidRPr="52112E28" w:rsidR="0015020C">
        <w:rPr>
          <w:rFonts w:cs="Calibri" w:cstheme="minorAscii"/>
        </w:rPr>
        <w:t>T</w:t>
      </w:r>
      <w:r w:rsidRPr="52112E28" w:rsidR="006125F6">
        <w:rPr>
          <w:rFonts w:cs="Calibri" w:cstheme="minorAscii"/>
        </w:rPr>
        <w:t xml:space="preserve">o </w:t>
      </w:r>
      <w:r w:rsidRPr="52112E28" w:rsidR="002B3FDE">
        <w:rPr>
          <w:rFonts w:cs="Calibri" w:cstheme="minorAscii"/>
        </w:rPr>
        <w:t xml:space="preserve">assess the impact </w:t>
      </w:r>
      <w:r w:rsidRPr="52112E28" w:rsidR="0015020C">
        <w:rPr>
          <w:rFonts w:cs="Calibri" w:cstheme="minorAscii"/>
        </w:rPr>
        <w:t xml:space="preserve">of </w:t>
      </w:r>
      <w:r w:rsidRPr="52112E28" w:rsidR="002B3FDE">
        <w:rPr>
          <w:rFonts w:cs="Calibri" w:cstheme="minorAscii"/>
        </w:rPr>
        <w:t xml:space="preserve">a clinical pharmacist on </w:t>
      </w:r>
      <w:r w:rsidRPr="52112E28" w:rsidR="004D54F3">
        <w:rPr>
          <w:rFonts w:cs="Calibri" w:cstheme="minorAscii"/>
        </w:rPr>
        <w:t>the appropriate continuation of home medications when a patient is admitted to the hospital from the ED.</w:t>
      </w:r>
    </w:p>
    <w:p w:rsidRPr="00454AA4" w:rsidR="00487285" w:rsidP="17B1D3D3" w:rsidRDefault="00487285" w14:paraId="19200B01" w14:textId="4F04757A">
      <w:pPr>
        <w:spacing w:line="240" w:lineRule="auto"/>
        <w:rPr>
          <w:rFonts w:cs="Calibri" w:cstheme="minorAscii"/>
        </w:rPr>
      </w:pPr>
      <w:r w:rsidRPr="52112E28" w:rsidR="00487285">
        <w:rPr>
          <w:rFonts w:cs="Calibri" w:cstheme="minorAscii"/>
          <w:b w:val="1"/>
          <w:bCs w:val="1"/>
        </w:rPr>
        <w:t>Methods</w:t>
      </w:r>
      <w:r w:rsidRPr="52112E28" w:rsidR="00487285">
        <w:rPr>
          <w:rFonts w:cs="Calibri" w:cstheme="minorAscii"/>
        </w:rPr>
        <w:t xml:space="preserve">: </w:t>
      </w:r>
      <w:r w:rsidRPr="52112E28" w:rsidR="00454AA4">
        <w:rPr>
          <w:rFonts w:cs="Calibri" w:cstheme="minorAscii"/>
        </w:rPr>
        <w:t xml:space="preserve">This </w:t>
      </w:r>
      <w:r w:rsidRPr="52112E28" w:rsidR="00454AA4">
        <w:rPr>
          <w:rFonts w:cs="Calibri" w:cstheme="minorAscii"/>
        </w:rPr>
        <w:t>IRB</w:t>
      </w:r>
      <w:r w:rsidRPr="52112E28" w:rsidR="00454AA4">
        <w:rPr>
          <w:rFonts w:cs="Calibri" w:cstheme="minorAscii"/>
        </w:rPr>
        <w:t xml:space="preserve"> approved prospective case-control study with intervention arm was conducted in a</w:t>
      </w:r>
      <w:r w:rsidRPr="52112E28" w:rsidR="00633E14">
        <w:rPr>
          <w:rFonts w:cs="Calibri" w:cstheme="minorAscii"/>
        </w:rPr>
        <w:t xml:space="preserve"> </w:t>
      </w:r>
      <w:r w:rsidRPr="52112E28" w:rsidR="00454AA4">
        <w:rPr>
          <w:rFonts w:cs="Calibri" w:cstheme="minorAscii"/>
        </w:rPr>
        <w:t xml:space="preserve">medical </w:t>
      </w:r>
      <w:r w:rsidRPr="52112E28" w:rsidR="0BB2B182">
        <w:rPr>
          <w:rFonts w:cs="Calibri" w:cstheme="minorAscii"/>
        </w:rPr>
        <w:t>ED</w:t>
      </w:r>
      <w:r w:rsidRPr="52112E28" w:rsidR="00454AA4">
        <w:rPr>
          <w:rFonts w:cs="Calibri" w:cstheme="minorAscii"/>
        </w:rPr>
        <w:t xml:space="preserve"> in a community teaching hospital. </w:t>
      </w:r>
      <w:r w:rsidRPr="52112E28" w:rsidR="001533BC">
        <w:rPr>
          <w:rFonts w:cs="Calibri" w:cstheme="minorAscii"/>
        </w:rPr>
        <w:t>The primary outcome was the number of medications ordered appropriate on patient admission to the hospital.</w:t>
      </w:r>
      <w:r w:rsidRPr="52112E28" w:rsidR="001533BC">
        <w:rPr>
          <w:rFonts w:cs="Calibri" w:cstheme="minorAscii"/>
        </w:rPr>
        <w:t xml:space="preserve"> </w:t>
      </w:r>
      <w:r w:rsidRPr="52112E28" w:rsidR="00A50424">
        <w:rPr>
          <w:rFonts w:cs="Calibri" w:cstheme="minorAscii"/>
        </w:rPr>
        <w:t>P</w:t>
      </w:r>
      <w:r w:rsidRPr="52112E28" w:rsidR="00633E14">
        <w:rPr>
          <w:rFonts w:cs="Calibri" w:cstheme="minorAscii"/>
        </w:rPr>
        <w:t>atients 18 years and older</w:t>
      </w:r>
      <w:r w:rsidRPr="52112E28" w:rsidR="00A50424">
        <w:rPr>
          <w:rFonts w:cs="Calibri" w:cstheme="minorAscii"/>
        </w:rPr>
        <w:t xml:space="preserve"> after a length of stay in the </w:t>
      </w:r>
      <w:r w:rsidRPr="52112E28" w:rsidR="0BB2B182">
        <w:rPr>
          <w:rFonts w:cs="Calibri" w:cstheme="minorAscii"/>
        </w:rPr>
        <w:t>ED</w:t>
      </w:r>
      <w:r w:rsidRPr="52112E28" w:rsidR="00A50424">
        <w:rPr>
          <w:rFonts w:cs="Calibri" w:cstheme="minorAscii"/>
        </w:rPr>
        <w:t xml:space="preserve"> </w:t>
      </w:r>
      <w:r w:rsidRPr="52112E28" w:rsidR="00633E14">
        <w:rPr>
          <w:rFonts w:cs="Calibri" w:cstheme="minorAscii"/>
        </w:rPr>
        <w:t>were included</w:t>
      </w:r>
      <w:r w:rsidR="00633E14">
        <w:rPr/>
        <w:t xml:space="preserve">. Retrospective data was </w:t>
      </w:r>
      <w:r w:rsidR="00765C7D">
        <w:rPr/>
        <w:t>collected</w:t>
      </w:r>
      <w:r w:rsidR="00633E14">
        <w:rPr/>
        <w:t xml:space="preserve"> from March 1</w:t>
      </w:r>
      <w:r w:rsidRPr="52112E28" w:rsidR="00633E14">
        <w:rPr>
          <w:vertAlign w:val="superscript"/>
        </w:rPr>
        <w:t>st</w:t>
      </w:r>
      <w:r w:rsidR="00633E14">
        <w:rPr/>
        <w:t xml:space="preserve">, </w:t>
      </w:r>
      <w:r w:rsidR="00633E14">
        <w:rPr/>
        <w:t>2022,</w:t>
      </w:r>
      <w:r w:rsidR="00633E14">
        <w:rPr/>
        <w:t xml:space="preserve"> through March 31</w:t>
      </w:r>
      <w:r w:rsidRPr="52112E28" w:rsidR="00633E14">
        <w:rPr>
          <w:vertAlign w:val="superscript"/>
        </w:rPr>
        <w:t>st</w:t>
      </w:r>
      <w:r w:rsidR="00633E14">
        <w:rPr/>
        <w:t xml:space="preserve">, </w:t>
      </w:r>
      <w:r w:rsidR="00633E14">
        <w:rPr/>
        <w:t>2022,</w:t>
      </w:r>
      <w:r w:rsidR="00B95E62">
        <w:rPr/>
        <w:t xml:space="preserve"> and the intervention arm </w:t>
      </w:r>
      <w:r w:rsidRPr="52112E28" w:rsidR="00B95E62">
        <w:rPr>
          <w:rFonts w:cs="Calibri" w:cstheme="minorAscii"/>
        </w:rPr>
        <w:t xml:space="preserve">from </w:t>
      </w:r>
      <w:r w:rsidR="00B95E62">
        <w:rPr/>
        <w:t>September 14</w:t>
      </w:r>
      <w:r w:rsidRPr="52112E28" w:rsidR="00B95E62">
        <w:rPr>
          <w:vertAlign w:val="superscript"/>
        </w:rPr>
        <w:t>th</w:t>
      </w:r>
      <w:r w:rsidR="00B95E62">
        <w:rPr/>
        <w:t xml:space="preserve">, </w:t>
      </w:r>
      <w:r w:rsidR="00B95E62">
        <w:rPr/>
        <w:t>2021,</w:t>
      </w:r>
      <w:r w:rsidR="00B95E62">
        <w:rPr/>
        <w:t xml:space="preserve"> to March 31</w:t>
      </w:r>
      <w:r w:rsidRPr="52112E28" w:rsidR="00B95E62">
        <w:rPr>
          <w:vertAlign w:val="superscript"/>
        </w:rPr>
        <w:t>st</w:t>
      </w:r>
      <w:r w:rsidR="00B95E62">
        <w:rPr/>
        <w:t>, 2022.</w:t>
      </w:r>
      <w:r w:rsidRPr="52112E28" w:rsidR="000A296C">
        <w:rPr>
          <w:rFonts w:cs="Calibri" w:cstheme="minorAscii"/>
        </w:rPr>
        <w:t xml:space="preserve"> </w:t>
      </w:r>
      <w:r w:rsidRPr="52112E28" w:rsidR="000A3CB9">
        <w:rPr>
          <w:rFonts w:cs="Calibri" w:cstheme="minorAscii"/>
        </w:rPr>
        <w:t>C</w:t>
      </w:r>
      <w:r w:rsidRPr="52112E28" w:rsidR="00C95185">
        <w:rPr>
          <w:rFonts w:cs="Calibri" w:cstheme="minorAscii"/>
        </w:rPr>
        <w:t xml:space="preserve">linical </w:t>
      </w:r>
      <w:r w:rsidRPr="52112E28" w:rsidR="00552BC9">
        <w:rPr>
          <w:rFonts w:cs="Calibri" w:cstheme="minorAscii"/>
        </w:rPr>
        <w:t>pharmacists</w:t>
      </w:r>
      <w:r w:rsidRPr="52112E28" w:rsidR="00C95185">
        <w:rPr>
          <w:rFonts w:cs="Calibri" w:cstheme="minorAscii"/>
        </w:rPr>
        <w:t xml:space="preserve"> working in the </w:t>
      </w:r>
      <w:r w:rsidRPr="52112E28" w:rsidR="0BB2B182">
        <w:rPr>
          <w:rFonts w:cs="Calibri" w:cstheme="minorAscii"/>
        </w:rPr>
        <w:t>ED</w:t>
      </w:r>
      <w:r w:rsidRPr="52112E28" w:rsidR="00C95185">
        <w:rPr>
          <w:rFonts w:cs="Calibri" w:cstheme="minorAscii"/>
        </w:rPr>
        <w:t xml:space="preserve"> wer</w:t>
      </w:r>
      <w:r w:rsidRPr="52112E28" w:rsidR="00552BC9">
        <w:rPr>
          <w:rFonts w:cs="Calibri" w:cstheme="minorAscii"/>
        </w:rPr>
        <w:t xml:space="preserve">e educated on </w:t>
      </w:r>
      <w:r w:rsidRPr="52112E28" w:rsidR="002415AC">
        <w:rPr>
          <w:rFonts w:cs="Calibri" w:cstheme="minorAscii"/>
        </w:rPr>
        <w:t xml:space="preserve">the </w:t>
      </w:r>
      <w:r w:rsidRPr="52112E28" w:rsidR="0065522C">
        <w:rPr>
          <w:rFonts w:cs="Calibri" w:cstheme="minorAscii"/>
        </w:rPr>
        <w:t xml:space="preserve">target </w:t>
      </w:r>
      <w:r w:rsidRPr="52112E28" w:rsidR="00552BC9">
        <w:rPr>
          <w:rFonts w:cs="Calibri" w:cstheme="minorAscii"/>
        </w:rPr>
        <w:t>medications and interventions</w:t>
      </w:r>
      <w:r w:rsidRPr="52112E28" w:rsidR="00F54B77">
        <w:rPr>
          <w:rFonts w:cs="Calibri" w:cstheme="minorAscii"/>
        </w:rPr>
        <w:t>.</w:t>
      </w:r>
      <w:r w:rsidRPr="52112E28" w:rsidR="00552BC9">
        <w:rPr>
          <w:rFonts w:cs="Calibri" w:cstheme="minorAscii"/>
        </w:rPr>
        <w:t xml:space="preserve"> </w:t>
      </w:r>
      <w:r w:rsidRPr="52112E28" w:rsidR="00440DEE">
        <w:rPr>
          <w:rFonts w:cs="Calibri" w:cstheme="minorAscii"/>
        </w:rPr>
        <w:t xml:space="preserve">During daily rounds when the intensivist </w:t>
      </w:r>
      <w:r w:rsidRPr="52112E28" w:rsidR="00454AA4">
        <w:rPr>
          <w:rFonts w:cs="Calibri" w:cstheme="minorAscii"/>
        </w:rPr>
        <w:t>decided</w:t>
      </w:r>
      <w:r w:rsidRPr="52112E28" w:rsidR="00440DEE">
        <w:rPr>
          <w:rFonts w:cs="Calibri" w:cstheme="minorAscii"/>
        </w:rPr>
        <w:t xml:space="preserve"> a patient would be transferred out of the </w:t>
      </w:r>
      <w:r w:rsidRPr="52112E28" w:rsidR="0BB2B182">
        <w:rPr>
          <w:rFonts w:cs="Calibri" w:cstheme="minorAscii"/>
        </w:rPr>
        <w:t>ED</w:t>
      </w:r>
      <w:r w:rsidRPr="52112E28" w:rsidR="00440DEE">
        <w:rPr>
          <w:rFonts w:cs="Calibri" w:cstheme="minorAscii"/>
        </w:rPr>
        <w:t>, t</w:t>
      </w:r>
      <w:r w:rsidRPr="52112E28" w:rsidR="002A1867">
        <w:rPr>
          <w:rFonts w:cs="Calibri" w:cstheme="minorAscii"/>
        </w:rPr>
        <w:t xml:space="preserve">he clinical pharmacist would reorder </w:t>
      </w:r>
      <w:r w:rsidRPr="52112E28" w:rsidR="002A1867">
        <w:rPr>
          <w:rFonts w:cs="Calibri" w:cstheme="minorAscii"/>
        </w:rPr>
        <w:t>indicated</w:t>
      </w:r>
      <w:r w:rsidRPr="52112E28" w:rsidR="002A1867">
        <w:rPr>
          <w:rFonts w:cs="Calibri" w:cstheme="minorAscii"/>
        </w:rPr>
        <w:t xml:space="preserve"> home medications, pending them for the physician to sign. </w:t>
      </w:r>
      <w:r w:rsidRPr="52112E28" w:rsidR="005E7CB7">
        <w:rPr>
          <w:rFonts w:cs="Calibri" w:cstheme="minorAscii"/>
        </w:rPr>
        <w:t xml:space="preserve">The pharmacist </w:t>
      </w:r>
      <w:r w:rsidRPr="52112E28" w:rsidR="6116865D">
        <w:rPr>
          <w:rFonts w:cs="Calibri" w:cstheme="minorAscii"/>
        </w:rPr>
        <w:t>documented the</w:t>
      </w:r>
      <w:r w:rsidRPr="52112E28" w:rsidR="00454AA4">
        <w:rPr>
          <w:rFonts w:cs="Calibri" w:cstheme="minorAscii"/>
        </w:rPr>
        <w:t xml:space="preserve"> </w:t>
      </w:r>
      <w:r w:rsidRPr="52112E28" w:rsidR="6116865D">
        <w:rPr>
          <w:rFonts w:cs="Calibri" w:cstheme="minorAscii"/>
        </w:rPr>
        <w:t xml:space="preserve">interventions </w:t>
      </w:r>
      <w:r w:rsidRPr="52112E28" w:rsidR="6116865D">
        <w:rPr>
          <w:rFonts w:cs="Calibri" w:cstheme="minorAscii"/>
        </w:rPr>
        <w:t>in the electronic medical record.</w:t>
      </w:r>
    </w:p>
    <w:p w:rsidR="00487285" w:rsidP="52112E28" w:rsidRDefault="00487285" w14:paraId="28F88A0F" w14:textId="5D7EF3E6">
      <w:pPr>
        <w:rPr>
          <w:rFonts w:cs="Calibri" w:cstheme="minorAscii"/>
        </w:rPr>
      </w:pPr>
      <w:r w:rsidRPr="52112E28" w:rsidR="00487285">
        <w:rPr>
          <w:rFonts w:cs="Calibri" w:cstheme="minorAscii"/>
          <w:b w:val="1"/>
          <w:bCs w:val="1"/>
        </w:rPr>
        <w:t>Results</w:t>
      </w:r>
      <w:r w:rsidRPr="52112E28" w:rsidR="00487285">
        <w:rPr>
          <w:rFonts w:cs="Calibri" w:cstheme="minorAscii"/>
        </w:rPr>
        <w:t>:</w:t>
      </w:r>
      <w:r w:rsidRPr="52112E28" w:rsidR="00F54B77">
        <w:rPr>
          <w:rFonts w:cs="Calibri" w:cstheme="minorAscii"/>
        </w:rPr>
        <w:t xml:space="preserve"> The retrospective cohort included 103 patients and the intervention cohort included 25 patients.</w:t>
      </w:r>
      <w:r w:rsidRPr="52112E28" w:rsidR="003E5854">
        <w:rPr>
          <w:rFonts w:cs="Calibri" w:cstheme="minorAscii"/>
        </w:rPr>
        <w:t xml:space="preserve"> The average patient was</w:t>
      </w:r>
      <w:r w:rsidRPr="52112E28" w:rsidR="00454AA4">
        <w:rPr>
          <w:rFonts w:cs="Calibri" w:cstheme="minorAscii"/>
        </w:rPr>
        <w:t xml:space="preserve"> 61 years old, male, and was taking an a</w:t>
      </w:r>
      <w:r w:rsidRPr="52112E28" w:rsidR="52112E28">
        <w:rPr>
          <w:rFonts w:cs="Calibri" w:cstheme="minorAscii"/>
        </w:rPr>
        <w:t xml:space="preserve">ntiplatelet, </w:t>
      </w:r>
      <w:proofErr w:type="spellStart"/>
      <w:r w:rsidRPr="52112E28" w:rsidR="52112E28">
        <w:rPr>
          <w:rFonts w:cs="Calibri" w:cstheme="minorAscii"/>
        </w:rPr>
        <w:t>antiasthmatic</w:t>
      </w:r>
      <w:proofErr w:type="spellEnd"/>
      <w:r w:rsidRPr="52112E28" w:rsidR="52112E28">
        <w:rPr>
          <w:rFonts w:cs="Calibri" w:cstheme="minorAscii"/>
        </w:rPr>
        <w:t>, antihyperlipidemic and/or antiulcer medication prior to admission</w:t>
      </w:r>
      <w:r w:rsidRPr="52112E28" w:rsidR="00454AA4">
        <w:rPr>
          <w:rFonts w:cs="Calibri" w:cstheme="minorAscii"/>
        </w:rPr>
        <w:t xml:space="preserve">. </w:t>
      </w:r>
      <w:r w:rsidRPr="52112E28" w:rsidR="00633E14">
        <w:rPr>
          <w:rFonts w:cs="Calibri" w:cstheme="minorAscii"/>
        </w:rPr>
        <w:t xml:space="preserve">Within the retrospective control group, </w:t>
      </w:r>
      <w:r w:rsidRPr="52112E28" w:rsidR="52112E28">
        <w:rPr>
          <w:rFonts w:cs="Calibri" w:cstheme="minorAscii"/>
        </w:rPr>
        <w:t xml:space="preserve">95.4% of home medications were appropriately </w:t>
      </w:r>
      <w:proofErr w:type="gramStart"/>
      <w:r w:rsidRPr="52112E28" w:rsidR="52112E28">
        <w:rPr>
          <w:rFonts w:cs="Calibri" w:cstheme="minorAscii"/>
        </w:rPr>
        <w:t>continued on</w:t>
      </w:r>
      <w:proofErr w:type="gramEnd"/>
      <w:r w:rsidRPr="52112E28" w:rsidR="52112E28">
        <w:rPr>
          <w:rFonts w:cs="Calibri" w:cstheme="minorAscii"/>
        </w:rPr>
        <w:t xml:space="preserve"> admission compared to 99.2% with pharmacist intervention. In the intervention arm, no medications were ordered prior to the medication reconciliation process being completed, compared to 8% in the retrospective cohort. </w:t>
      </w:r>
    </w:p>
    <w:p w:rsidR="00487285" w:rsidP="52112E28" w:rsidRDefault="00487285" w14:paraId="650D7A61" w14:textId="76A5AA64">
      <w:pPr>
        <w:spacing w:line="240" w:lineRule="auto"/>
        <w:rPr>
          <w:rFonts w:cs="Calibri" w:cstheme="minorAscii"/>
        </w:rPr>
      </w:pPr>
      <w:r w:rsidRPr="52112E28" w:rsidR="00487285">
        <w:rPr>
          <w:rFonts w:cs="Calibri" w:cstheme="minorAscii"/>
          <w:b w:val="1"/>
          <w:bCs w:val="1"/>
        </w:rPr>
        <w:t>Conclusion</w:t>
      </w:r>
      <w:r w:rsidRPr="52112E28" w:rsidR="00487285">
        <w:rPr>
          <w:rFonts w:cs="Calibri" w:cstheme="minorAscii"/>
        </w:rPr>
        <w:t xml:space="preserve">: </w:t>
      </w:r>
      <w:r w:rsidRPr="52112E28" w:rsidR="00065AB2">
        <w:rPr>
          <w:rFonts w:cs="Calibri" w:cstheme="minorAscii"/>
        </w:rPr>
        <w:t>Incorporating a pharmacist review of</w:t>
      </w:r>
      <w:r w:rsidRPr="52112E28" w:rsidR="00765C7D">
        <w:rPr>
          <w:rFonts w:cs="Calibri" w:cstheme="minorAscii"/>
        </w:rPr>
        <w:t xml:space="preserve"> </w:t>
      </w:r>
      <w:r w:rsidRPr="52112E28" w:rsidR="007F10DC">
        <w:rPr>
          <w:rFonts w:cs="Calibri" w:cstheme="minorAscii"/>
        </w:rPr>
        <w:t xml:space="preserve">a patient’s medication list before </w:t>
      </w:r>
      <w:r w:rsidRPr="52112E28" w:rsidR="007F10DC">
        <w:rPr>
          <w:rFonts w:cs="Calibri" w:cstheme="minorAscii"/>
        </w:rPr>
        <w:t>transferring</w:t>
      </w:r>
      <w:r w:rsidRPr="52112E28" w:rsidR="00B31D21">
        <w:rPr>
          <w:rFonts w:cs="Calibri" w:cstheme="minorAscii"/>
        </w:rPr>
        <w:t xml:space="preserve"> </w:t>
      </w:r>
      <w:r w:rsidRPr="52112E28" w:rsidR="007F10DC">
        <w:rPr>
          <w:rFonts w:cs="Calibri" w:cstheme="minorAscii"/>
        </w:rPr>
        <w:t xml:space="preserve">out of the </w:t>
      </w:r>
      <w:r w:rsidRPr="52112E28" w:rsidR="0BB2B182">
        <w:rPr>
          <w:rFonts w:cs="Calibri" w:cstheme="minorAscii"/>
        </w:rPr>
        <w:t>ED</w:t>
      </w:r>
      <w:r w:rsidRPr="52112E28" w:rsidR="007F10DC">
        <w:rPr>
          <w:rFonts w:cs="Calibri" w:cstheme="minorAscii"/>
        </w:rPr>
        <w:t xml:space="preserve"> may </w:t>
      </w:r>
      <w:r w:rsidRPr="52112E28" w:rsidR="00765C7D">
        <w:rPr>
          <w:rFonts w:cs="Calibri" w:cstheme="minorAscii"/>
        </w:rPr>
        <w:t xml:space="preserve">increase accuracy of medications ordered for admission, ensuring they reflect what the patient was taking prior to admission. </w:t>
      </w:r>
      <w:r w:rsidRPr="52112E28" w:rsidR="007F10DC">
        <w:rPr>
          <w:rFonts w:cs="Calibri" w:cstheme="minorAscii"/>
        </w:rPr>
        <w:t xml:space="preserve">This study is limited by pharmacist participation in the prospective arm and </w:t>
      </w:r>
      <w:r w:rsidRPr="52112E28" w:rsidR="007F10DC">
        <w:rPr>
          <w:rFonts w:cs="Calibri" w:cstheme="minorAscii"/>
        </w:rPr>
        <w:t>retrospective</w:t>
      </w:r>
      <w:r w:rsidRPr="52112E28" w:rsidR="007F10DC">
        <w:rPr>
          <w:rFonts w:cs="Calibri" w:cstheme="minorAscii"/>
        </w:rPr>
        <w:t xml:space="preserve"> data was obtained via chart review.</w:t>
      </w:r>
      <w:r w:rsidRPr="52112E28" w:rsidR="00E05DD0">
        <w:rPr>
          <w:rFonts w:cs="Calibri" w:cstheme="minorAscii"/>
        </w:rPr>
        <w:t xml:space="preserve"> </w:t>
      </w:r>
      <w:r w:rsidRPr="52112E28" w:rsidR="007F10DC">
        <w:rPr>
          <w:rFonts w:cs="Calibri" w:cstheme="minorAscii"/>
        </w:rPr>
        <w:t xml:space="preserve">These results align with </w:t>
      </w:r>
      <w:r w:rsidRPr="52112E28" w:rsidR="007F10DC">
        <w:rPr>
          <w:rFonts w:cs="Calibri" w:cstheme="minorAscii"/>
        </w:rPr>
        <w:t>previous</w:t>
      </w:r>
      <w:r w:rsidRPr="52112E28" w:rsidR="007F10DC">
        <w:rPr>
          <w:rFonts w:cs="Calibri" w:cstheme="minorAscii"/>
        </w:rPr>
        <w:t xml:space="preserve"> studies showing a pharmacist</w:t>
      </w:r>
      <w:r w:rsidRPr="52112E28" w:rsidR="00B95E62">
        <w:rPr>
          <w:rFonts w:cs="Calibri" w:cstheme="minorAscii"/>
        </w:rPr>
        <w:t xml:space="preserve">’s impact on </w:t>
      </w:r>
      <w:r w:rsidRPr="52112E28" w:rsidR="007F10DC">
        <w:rPr>
          <w:rFonts w:cs="Calibri" w:cstheme="minorAscii"/>
        </w:rPr>
        <w:t>reduc</w:t>
      </w:r>
      <w:r w:rsidRPr="52112E28" w:rsidR="00B95E62">
        <w:rPr>
          <w:rFonts w:cs="Calibri" w:cstheme="minorAscii"/>
        </w:rPr>
        <w:t>ing</w:t>
      </w:r>
      <w:r w:rsidRPr="52112E28" w:rsidR="007F10DC">
        <w:rPr>
          <w:rFonts w:cs="Calibri" w:cstheme="minorAscii"/>
        </w:rPr>
        <w:t xml:space="preserve"> the number </w:t>
      </w:r>
      <w:r w:rsidRPr="52112E28" w:rsidR="007F10DC">
        <w:rPr>
          <w:rFonts w:cs="Calibri" w:cstheme="minorAscii"/>
        </w:rPr>
        <w:t xml:space="preserve">of inappropriate medications continued at discharge from the </w:t>
      </w:r>
      <w:r w:rsidRPr="52112E28" w:rsidR="0BB2B182">
        <w:rPr>
          <w:rFonts w:cs="Calibri" w:cstheme="minorAscii"/>
        </w:rPr>
        <w:t>ED</w:t>
      </w:r>
      <w:r w:rsidRPr="52112E28" w:rsidR="00493A51">
        <w:rPr>
          <w:rFonts w:cs="Calibri" w:cstheme="minorAscii"/>
        </w:rPr>
        <w:t>.</w:t>
      </w:r>
      <w:r w:rsidRPr="52112E28" w:rsidR="00E05DD0">
        <w:rPr>
          <w:rFonts w:cs="Calibri" w:cstheme="minorAscii"/>
        </w:rPr>
        <w:t xml:space="preserve"> </w:t>
      </w:r>
      <w:r w:rsidRPr="52112E28" w:rsidR="00DE44AA">
        <w:rPr>
          <w:rFonts w:cs="Calibri" w:cstheme="minorAscii"/>
        </w:rPr>
        <w:t>Future directions could include developing this to be a standard workflow in the ED, but the strength of the current data does not yet support this.</w:t>
      </w:r>
    </w:p>
    <w:p w:rsidR="52112E28" w:rsidP="52112E28" w:rsidRDefault="52112E28" w14:paraId="00DA4A9A" w14:textId="428DB34F">
      <w:pPr>
        <w:pStyle w:val="Normal"/>
        <w:spacing w:line="240" w:lineRule="auto"/>
        <w:rPr>
          <w:rFonts w:cs="Calibri" w:cstheme="minorAscii"/>
        </w:rPr>
      </w:pPr>
      <w:r w:rsidRPr="52112E28" w:rsidR="52112E28">
        <w:rPr>
          <w:rFonts w:cs="Calibri" w:cstheme="minorAscii"/>
        </w:rPr>
        <w:t>Contact: Sarah Mills, PharmD - Sarah.mills@conehealth.com</w:t>
      </w:r>
    </w:p>
    <w:sectPr w:rsidRPr="00454AA4" w:rsidR="002B19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0HwduRXIwcZ+Vb" id="EHaBxYYp"/>
    <int:WordHash hashCode="PJw5YR0dE4+eIl" id="Yo7qrEp9"/>
    <int:ParagraphRange paragraphId="41999670" textId="67382137" start="9" length="5" invalidationStart="9" invalidationLength="5" id="HiRHXI4I"/>
    <int:ParagraphRange paragraphId="421530369" textId="752712201" start="383" length="4" invalidationStart="383" invalidationLength="4" id="iiyJEKoy"/>
  </int:Manifest>
  <int:Observations>
    <int:Content id="EHaBxYYp">
      <int:Rejection type="LegacyProofing"/>
    </int:Content>
    <int:Content id="Yo7qrEp9">
      <int:Rejection type="LegacyProofing"/>
    </int:Content>
    <int:Content id="HiRHXI4I">
      <int:Rejection type="LegacyProofing"/>
    </int:Content>
    <int:Content id="iiyJEKo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786"/>
    <w:multiLevelType w:val="hybridMultilevel"/>
    <w:tmpl w:val="E084E120"/>
    <w:lvl w:ilvl="0" w:tplc="4B0C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86C3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1B0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286A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9D8F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2BC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210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1D6F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A084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AE56729"/>
    <w:multiLevelType w:val="hybridMultilevel"/>
    <w:tmpl w:val="A9C8F5D2"/>
    <w:lvl w:ilvl="0" w:tplc="12ACA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D2A3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8123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4F20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4C6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EC0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5D2B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F64C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4CC3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2D9D24CB"/>
    <w:multiLevelType w:val="hybridMultilevel"/>
    <w:tmpl w:val="A89E40C8"/>
    <w:lvl w:ilvl="0" w:tplc="E9363E5C">
      <w:numFmt w:val="bullet"/>
      <w:lvlText w:val=""/>
      <w:lvlJc w:val="left"/>
      <w:pPr>
        <w:ind w:left="45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3" w15:restartNumberingAfterBreak="0">
    <w:nsid w:val="32E257A9"/>
    <w:multiLevelType w:val="hybridMultilevel"/>
    <w:tmpl w:val="3356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557D"/>
    <w:multiLevelType w:val="hybridMultilevel"/>
    <w:tmpl w:val="B1C66978"/>
    <w:lvl w:ilvl="0" w:tplc="9678E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89E6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5903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FC0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9B89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414D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4B0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ECA3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26A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1A"/>
    <w:rsid w:val="00034267"/>
    <w:rsid w:val="00065AB2"/>
    <w:rsid w:val="00082B7A"/>
    <w:rsid w:val="00091CC0"/>
    <w:rsid w:val="000A296C"/>
    <w:rsid w:val="000A3CB9"/>
    <w:rsid w:val="000D2B3F"/>
    <w:rsid w:val="00104AFB"/>
    <w:rsid w:val="0015020C"/>
    <w:rsid w:val="001533BC"/>
    <w:rsid w:val="00155F6D"/>
    <w:rsid w:val="001D5FD4"/>
    <w:rsid w:val="001E37DA"/>
    <w:rsid w:val="001F489F"/>
    <w:rsid w:val="00207D16"/>
    <w:rsid w:val="00231538"/>
    <w:rsid w:val="002415AC"/>
    <w:rsid w:val="002708DF"/>
    <w:rsid w:val="002A1867"/>
    <w:rsid w:val="002B1960"/>
    <w:rsid w:val="002B3FDE"/>
    <w:rsid w:val="002E41DC"/>
    <w:rsid w:val="002F7B9F"/>
    <w:rsid w:val="00312540"/>
    <w:rsid w:val="00341086"/>
    <w:rsid w:val="003C7201"/>
    <w:rsid w:val="003E5854"/>
    <w:rsid w:val="00440DEE"/>
    <w:rsid w:val="00445D73"/>
    <w:rsid w:val="00454AA4"/>
    <w:rsid w:val="004608C7"/>
    <w:rsid w:val="00487285"/>
    <w:rsid w:val="00493A51"/>
    <w:rsid w:val="004D54F3"/>
    <w:rsid w:val="00521755"/>
    <w:rsid w:val="0052511E"/>
    <w:rsid w:val="00536D35"/>
    <w:rsid w:val="00552BC9"/>
    <w:rsid w:val="00554282"/>
    <w:rsid w:val="0057623B"/>
    <w:rsid w:val="00584C3C"/>
    <w:rsid w:val="005B2B7C"/>
    <w:rsid w:val="005E0819"/>
    <w:rsid w:val="005E7CB7"/>
    <w:rsid w:val="006125F6"/>
    <w:rsid w:val="00633E14"/>
    <w:rsid w:val="0065522C"/>
    <w:rsid w:val="006729CA"/>
    <w:rsid w:val="00697903"/>
    <w:rsid w:val="006F3460"/>
    <w:rsid w:val="00716364"/>
    <w:rsid w:val="00765C7D"/>
    <w:rsid w:val="007B415D"/>
    <w:rsid w:val="007B4624"/>
    <w:rsid w:val="007F10DC"/>
    <w:rsid w:val="007F6B09"/>
    <w:rsid w:val="008023D1"/>
    <w:rsid w:val="0081613C"/>
    <w:rsid w:val="00885060"/>
    <w:rsid w:val="008B1A26"/>
    <w:rsid w:val="008C7C28"/>
    <w:rsid w:val="008D0824"/>
    <w:rsid w:val="009926B9"/>
    <w:rsid w:val="009968D4"/>
    <w:rsid w:val="009F695D"/>
    <w:rsid w:val="00A50424"/>
    <w:rsid w:val="00A54B53"/>
    <w:rsid w:val="00A8564A"/>
    <w:rsid w:val="00AA1243"/>
    <w:rsid w:val="00AA3B81"/>
    <w:rsid w:val="00AD7056"/>
    <w:rsid w:val="00AE0597"/>
    <w:rsid w:val="00B31D21"/>
    <w:rsid w:val="00B81C1A"/>
    <w:rsid w:val="00B93ABA"/>
    <w:rsid w:val="00B95E62"/>
    <w:rsid w:val="00BA582B"/>
    <w:rsid w:val="00BD0828"/>
    <w:rsid w:val="00C719DC"/>
    <w:rsid w:val="00C95185"/>
    <w:rsid w:val="00CB0365"/>
    <w:rsid w:val="00D2024D"/>
    <w:rsid w:val="00DE44AA"/>
    <w:rsid w:val="00E05DD0"/>
    <w:rsid w:val="00E05FB3"/>
    <w:rsid w:val="00E1799F"/>
    <w:rsid w:val="00E353DB"/>
    <w:rsid w:val="00E530E3"/>
    <w:rsid w:val="00EE6106"/>
    <w:rsid w:val="00EF358E"/>
    <w:rsid w:val="00F11DEA"/>
    <w:rsid w:val="00F24DE0"/>
    <w:rsid w:val="00F54B77"/>
    <w:rsid w:val="00FA0810"/>
    <w:rsid w:val="00FA412A"/>
    <w:rsid w:val="01048F11"/>
    <w:rsid w:val="0515BA03"/>
    <w:rsid w:val="07ACEAE0"/>
    <w:rsid w:val="0B106F3D"/>
    <w:rsid w:val="0B96FD83"/>
    <w:rsid w:val="0BB2B182"/>
    <w:rsid w:val="0E030407"/>
    <w:rsid w:val="14905071"/>
    <w:rsid w:val="14E5361B"/>
    <w:rsid w:val="1785B320"/>
    <w:rsid w:val="17B1D3D3"/>
    <w:rsid w:val="186B6C15"/>
    <w:rsid w:val="1884EFCE"/>
    <w:rsid w:val="193E1925"/>
    <w:rsid w:val="194DA434"/>
    <w:rsid w:val="1992B02C"/>
    <w:rsid w:val="1992B02C"/>
    <w:rsid w:val="1AE97495"/>
    <w:rsid w:val="1CEB159E"/>
    <w:rsid w:val="1EC1853C"/>
    <w:rsid w:val="1FF0325F"/>
    <w:rsid w:val="203B89F8"/>
    <w:rsid w:val="20C6C60B"/>
    <w:rsid w:val="2158B619"/>
    <w:rsid w:val="27029C94"/>
    <w:rsid w:val="27997B8D"/>
    <w:rsid w:val="27F3DB38"/>
    <w:rsid w:val="2A210121"/>
    <w:rsid w:val="2FCB6BF9"/>
    <w:rsid w:val="30A40BB4"/>
    <w:rsid w:val="371CE59C"/>
    <w:rsid w:val="38B8B5FD"/>
    <w:rsid w:val="3D8C2720"/>
    <w:rsid w:val="3DD3B767"/>
    <w:rsid w:val="3F27F781"/>
    <w:rsid w:val="404ED8A2"/>
    <w:rsid w:val="452D9D38"/>
    <w:rsid w:val="4581D8F0"/>
    <w:rsid w:val="45C31CA0"/>
    <w:rsid w:val="472B680E"/>
    <w:rsid w:val="4788E0FA"/>
    <w:rsid w:val="49B72269"/>
    <w:rsid w:val="49C11E2C"/>
    <w:rsid w:val="49E19DAB"/>
    <w:rsid w:val="4CFCB469"/>
    <w:rsid w:val="4E7CE580"/>
    <w:rsid w:val="52112E28"/>
    <w:rsid w:val="537ECAEF"/>
    <w:rsid w:val="537F7F34"/>
    <w:rsid w:val="557760FE"/>
    <w:rsid w:val="56CD035D"/>
    <w:rsid w:val="58F2C9BF"/>
    <w:rsid w:val="5F8A9485"/>
    <w:rsid w:val="5FD3F698"/>
    <w:rsid w:val="6116865D"/>
    <w:rsid w:val="6217A38A"/>
    <w:rsid w:val="62730777"/>
    <w:rsid w:val="640ED7D8"/>
    <w:rsid w:val="64348047"/>
    <w:rsid w:val="6959921E"/>
    <w:rsid w:val="6C00C160"/>
    <w:rsid w:val="6E2D0341"/>
    <w:rsid w:val="732D7A09"/>
    <w:rsid w:val="7341E545"/>
    <w:rsid w:val="74C94A6A"/>
    <w:rsid w:val="785CDF69"/>
    <w:rsid w:val="7A733289"/>
    <w:rsid w:val="7AA9A6DD"/>
    <w:rsid w:val="7C65E1A4"/>
    <w:rsid w:val="7CF1051F"/>
    <w:rsid w:val="7DB23BA2"/>
    <w:rsid w:val="7F36E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0FB4"/>
  <w15:chartTrackingRefBased/>
  <w15:docId w15:val="{EDB3789C-E523-4841-885E-999849F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254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7C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22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55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22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5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8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7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09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9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1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3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19/09/relationships/intelligence" Target="intelligence.xml" Id="R2b3d198e5d334d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92DA690E5344CB51CF8E54DCF2443" ma:contentTypeVersion="4" ma:contentTypeDescription="Create a new document." ma:contentTypeScope="" ma:versionID="28ffa5ebdec7ecbd98bb674d011856f1">
  <xsd:schema xmlns:xsd="http://www.w3.org/2001/XMLSchema" xmlns:xs="http://www.w3.org/2001/XMLSchema" xmlns:p="http://schemas.microsoft.com/office/2006/metadata/properties" xmlns:ns2="432a34e7-0d12-4ff5-8649-bf56e87aca12" targetNamespace="http://schemas.microsoft.com/office/2006/metadata/properties" ma:root="true" ma:fieldsID="30dc91a9b64ccca606f1405a14d23088" ns2:_="">
    <xsd:import namespace="432a34e7-0d12-4ff5-8649-bf56e87ac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a34e7-0d12-4ff5-8649-bf56e87ac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2B02B-C904-4120-B4D0-2A4F6536A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a34e7-0d12-4ff5-8649-bf56e87ac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F54A1-8137-45E6-A64F-DB3F604B8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42DBC-817E-4806-8247-BAD3BDC0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2A78E0-0F82-48C6-A8A9-78041551B78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Lippucci, Andrea</dc:creator>
  <keywords/>
  <dc:description/>
  <lastModifiedBy>Mills, Sarah</lastModifiedBy>
  <revision>11</revision>
  <dcterms:created xsi:type="dcterms:W3CDTF">2021-04-12T19:59:00.0000000Z</dcterms:created>
  <dcterms:modified xsi:type="dcterms:W3CDTF">2022-05-05T16:24:21.9723155Z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0x01010050B92DA690E5344CB51CF8E54DCF2443</vt:lpwstr>
  </property>
</Properties>
</file>