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186A" w14:textId="3B9017AF" w:rsidR="00E25C26" w:rsidRPr="00802527" w:rsidRDefault="00802527" w:rsidP="00802527">
      <w:pPr>
        <w:jc w:val="center"/>
        <w:rPr>
          <w:b/>
          <w:bCs/>
          <w:i/>
          <w:iCs/>
        </w:rPr>
      </w:pPr>
      <w:r w:rsidRPr="51E38DB7">
        <w:rPr>
          <w:b/>
          <w:bCs/>
          <w:i/>
          <w:iCs/>
        </w:rPr>
        <w:t xml:space="preserve">Evaluation of </w:t>
      </w:r>
      <w:r w:rsidR="00650EE8">
        <w:rPr>
          <w:b/>
          <w:bCs/>
          <w:i/>
          <w:iCs/>
        </w:rPr>
        <w:t>G</w:t>
      </w:r>
      <w:r w:rsidRPr="51E38DB7">
        <w:rPr>
          <w:b/>
          <w:bCs/>
          <w:i/>
          <w:iCs/>
        </w:rPr>
        <w:t xml:space="preserve">lycemic </w:t>
      </w:r>
      <w:r w:rsidR="00650EE8">
        <w:rPr>
          <w:b/>
          <w:bCs/>
          <w:i/>
          <w:iCs/>
        </w:rPr>
        <w:t>M</w:t>
      </w:r>
      <w:r w:rsidRPr="51E38DB7">
        <w:rPr>
          <w:b/>
          <w:bCs/>
          <w:i/>
          <w:iCs/>
        </w:rPr>
        <w:t xml:space="preserve">anagement and </w:t>
      </w:r>
      <w:r w:rsidR="00650EE8">
        <w:rPr>
          <w:b/>
          <w:bCs/>
          <w:i/>
          <w:iCs/>
        </w:rPr>
        <w:t>O</w:t>
      </w:r>
      <w:r w:rsidRPr="51E38DB7">
        <w:rPr>
          <w:b/>
          <w:bCs/>
          <w:i/>
          <w:iCs/>
        </w:rPr>
        <w:t xml:space="preserve">utcomes for </w:t>
      </w:r>
      <w:r w:rsidR="00650EE8">
        <w:rPr>
          <w:b/>
          <w:bCs/>
          <w:i/>
          <w:iCs/>
        </w:rPr>
        <w:t>P</w:t>
      </w:r>
      <w:r w:rsidRPr="51E38DB7">
        <w:rPr>
          <w:b/>
          <w:bCs/>
          <w:i/>
          <w:iCs/>
        </w:rPr>
        <w:t xml:space="preserve">atients </w:t>
      </w:r>
      <w:r w:rsidR="00650EE8">
        <w:rPr>
          <w:b/>
          <w:bCs/>
          <w:i/>
          <w:iCs/>
        </w:rPr>
        <w:t>R</w:t>
      </w:r>
      <w:r w:rsidRPr="51E38DB7">
        <w:rPr>
          <w:b/>
          <w:bCs/>
          <w:i/>
          <w:iCs/>
        </w:rPr>
        <w:t xml:space="preserve">equiring </w:t>
      </w:r>
      <w:r w:rsidR="00650EE8">
        <w:rPr>
          <w:b/>
          <w:bCs/>
          <w:i/>
          <w:iCs/>
        </w:rPr>
        <w:t>P</w:t>
      </w:r>
      <w:r w:rsidRPr="51E38DB7">
        <w:rPr>
          <w:b/>
          <w:bCs/>
          <w:i/>
          <w:iCs/>
        </w:rPr>
        <w:t xml:space="preserve">arenteral </w:t>
      </w:r>
      <w:r w:rsidR="00650EE8">
        <w:rPr>
          <w:b/>
          <w:bCs/>
          <w:i/>
          <w:iCs/>
        </w:rPr>
        <w:t>N</w:t>
      </w:r>
      <w:r w:rsidRPr="51E38DB7">
        <w:rPr>
          <w:b/>
          <w:bCs/>
          <w:i/>
          <w:iCs/>
        </w:rPr>
        <w:t>utrition</w:t>
      </w:r>
    </w:p>
    <w:p w14:paraId="73A1339A" w14:textId="623B3CBD" w:rsidR="00263A54" w:rsidRPr="00802527" w:rsidRDefault="00583CC1" w:rsidP="00802527">
      <w:pPr>
        <w:jc w:val="center"/>
        <w:rPr>
          <w:bCs/>
          <w:vertAlign w:val="superscript"/>
        </w:rPr>
      </w:pPr>
      <w:r w:rsidRPr="00802527">
        <w:rPr>
          <w:bCs/>
        </w:rPr>
        <w:t xml:space="preserve">McCurry J, Gafford K, </w:t>
      </w:r>
      <w:r w:rsidR="005A0B87" w:rsidRPr="00802527">
        <w:rPr>
          <w:bCs/>
        </w:rPr>
        <w:t>Dalpoas S</w:t>
      </w:r>
      <w:r w:rsidR="00980099">
        <w:rPr>
          <w:bCs/>
        </w:rPr>
        <w:t>, Keddis P,</w:t>
      </w:r>
      <w:r w:rsidR="0051464A">
        <w:t xml:space="preserve"> </w:t>
      </w:r>
      <w:r w:rsidR="005A0B87" w:rsidRPr="00802527">
        <w:rPr>
          <w:bCs/>
        </w:rPr>
        <w:t xml:space="preserve">Link R, </w:t>
      </w:r>
      <w:r w:rsidR="0051464A" w:rsidRPr="00802527">
        <w:rPr>
          <w:bCs/>
        </w:rPr>
        <w:t>Jacobs T</w:t>
      </w:r>
    </w:p>
    <w:p w14:paraId="0A458951" w14:textId="07651516" w:rsidR="00F657C8" w:rsidRPr="00802527" w:rsidRDefault="00F657C8" w:rsidP="00802527">
      <w:pPr>
        <w:jc w:val="center"/>
        <w:rPr>
          <w:bCs/>
        </w:rPr>
      </w:pPr>
      <w:r w:rsidRPr="00802527">
        <w:rPr>
          <w:bCs/>
        </w:rPr>
        <w:t>Novant Health Forsyth Medical Center, Novant Health Presbyterian Medical Center</w:t>
      </w:r>
      <w:r w:rsidR="00583CC1" w:rsidRPr="00802527">
        <w:rPr>
          <w:bCs/>
        </w:rPr>
        <w:t>, Novant Health Huntersville Medical Center, Novant Health Rowan Medical Center, Novant Health Matthews Medical Center</w:t>
      </w:r>
    </w:p>
    <w:p w14:paraId="5A219BBD" w14:textId="77777777" w:rsidR="00802527" w:rsidRDefault="00802527" w:rsidP="00583CC1">
      <w:pPr>
        <w:spacing w:before="20" w:afterLines="20" w:after="48" w:line="240" w:lineRule="auto"/>
        <w:contextualSpacing/>
        <w:rPr>
          <w:b/>
        </w:rPr>
      </w:pPr>
    </w:p>
    <w:p w14:paraId="5B7F5386" w14:textId="0C35CEDC" w:rsidR="00F7727F" w:rsidRPr="006D42C1" w:rsidRDefault="00F7727F" w:rsidP="00F7727F">
      <w:r w:rsidRPr="45AFEFD9">
        <w:rPr>
          <w:b/>
        </w:rPr>
        <w:t>Background</w:t>
      </w:r>
      <w:r w:rsidRPr="45AFEFD9">
        <w:t>: Current standards for glycemic management vary among institutions, with reported incidence of inpatient hyperglycemia among recent studies ranging between 32-56%. Receipt of glucose via parenteral nutrition (PN) supplementation may result in sustained serum blood glucose (BG) levels leading to stress hyperglycemia, with complications such as glucosuria, hyperosmolarity, and hepatic dysfunction.</w:t>
      </w:r>
      <w:r w:rsidR="002415A3" w:rsidRPr="45AFEFD9">
        <w:rPr>
          <w:vertAlign w:val="superscript"/>
        </w:rPr>
        <w:t xml:space="preserve"> </w:t>
      </w:r>
      <w:r w:rsidRPr="45AFEFD9">
        <w:t xml:space="preserve">Providers among Novant Health </w:t>
      </w:r>
      <w:r w:rsidR="00A02424">
        <w:t>inpatient medical</w:t>
      </w:r>
      <w:r w:rsidRPr="45AFEFD9">
        <w:t xml:space="preserve"> facilities may utilize multiple strategies to attain glycemic control for patients on PN, and a formal review of glycemic outcomes is pertinent to assess adherence to glycemic goals for these patients. Utilizing recent guideline recommendations from the ADA and A.S.P.E.N., evaluation of available treatments will provide insight to the effect on glycemic management with each treatment modality.</w:t>
      </w:r>
    </w:p>
    <w:p w14:paraId="2278A9A4" w14:textId="19A8559F" w:rsidR="00F7727F" w:rsidRPr="006D42C1" w:rsidRDefault="00F7727F" w:rsidP="00F7727F">
      <w:pPr>
        <w:rPr>
          <w:rFonts w:cstheme="minorHAnsi"/>
        </w:rPr>
      </w:pPr>
      <w:r w:rsidRPr="006D42C1">
        <w:rPr>
          <w:rFonts w:cstheme="minorHAnsi"/>
          <w:b/>
          <w:bCs/>
        </w:rPr>
        <w:t>Purpose</w:t>
      </w:r>
      <w:r w:rsidRPr="006D42C1">
        <w:rPr>
          <w:rFonts w:cstheme="minorHAnsi"/>
        </w:rPr>
        <w:t xml:space="preserve">: </w:t>
      </w:r>
      <w:r w:rsidRPr="005D5221">
        <w:rPr>
          <w:rFonts w:cstheme="minorHAnsi"/>
        </w:rPr>
        <w:t>The purpose of this study is to evaluate glycemic outcomes in patients receiving parenteral nutrition (PN) supplementation, who required management with insulin, to guide validation of current practices and to optimize pharmacy services.</w:t>
      </w:r>
      <w:r>
        <w:rPr>
          <w:rFonts w:cstheme="minorHAnsi"/>
        </w:rPr>
        <w:t xml:space="preserve"> </w:t>
      </w:r>
    </w:p>
    <w:p w14:paraId="460A7536" w14:textId="136FA05E" w:rsidR="00F7727F" w:rsidRPr="006D42C1" w:rsidRDefault="00F7727F" w:rsidP="00F7727F">
      <w:r w:rsidRPr="45AFEFD9">
        <w:rPr>
          <w:b/>
        </w:rPr>
        <w:t>Objectives</w:t>
      </w:r>
      <w:r w:rsidRPr="45AFEFD9">
        <w:t xml:space="preserve">: </w:t>
      </w:r>
      <w:r w:rsidR="00277EC8" w:rsidRPr="45AFEFD9">
        <w:t xml:space="preserve">The primary outcome </w:t>
      </w:r>
      <w:r w:rsidR="00A02424">
        <w:t>of</w:t>
      </w:r>
      <w:r w:rsidR="00980099">
        <w:t xml:space="preserve"> this study is</w:t>
      </w:r>
      <w:r w:rsidR="00C04FBE" w:rsidRPr="45AFEFD9">
        <w:t xml:space="preserve"> to evaluate glycemic management practices among patients requiring PN by quantifying </w:t>
      </w:r>
      <w:r w:rsidR="00A02424">
        <w:t xml:space="preserve">and evaluating </w:t>
      </w:r>
      <w:r w:rsidR="00177CF4" w:rsidRPr="45AFEFD9">
        <w:t>percentages of patients receiving PN that experienced any occurrence of hypoglycemia (BG &lt; 70mg/dL)</w:t>
      </w:r>
      <w:r w:rsidR="006C25B3" w:rsidRPr="45AFEFD9">
        <w:t xml:space="preserve">, and/or hyperglycemia (BG &gt; 250 mg/dL). </w:t>
      </w:r>
      <w:r w:rsidR="000665E4" w:rsidRPr="45AFEFD9">
        <w:t xml:space="preserve">Secondary outcomes </w:t>
      </w:r>
      <w:r w:rsidR="00DE2E1B" w:rsidRPr="45AFEFD9">
        <w:t xml:space="preserve">include evaluation of </w:t>
      </w:r>
      <w:r w:rsidR="000837F4" w:rsidRPr="45AFEFD9">
        <w:t xml:space="preserve">the </w:t>
      </w:r>
      <w:r w:rsidR="00DE2E1B" w:rsidRPr="45AFEFD9">
        <w:t xml:space="preserve">percentage of patients </w:t>
      </w:r>
      <w:r w:rsidR="000837F4" w:rsidRPr="45AFEFD9">
        <w:t xml:space="preserve">who required </w:t>
      </w:r>
      <w:r w:rsidR="00C9683B" w:rsidRPr="45AFEFD9">
        <w:t xml:space="preserve">rescue therapy for profound hypoglycemia (BG &lt; 50 mg/dl), and </w:t>
      </w:r>
      <w:r w:rsidR="00A012F2" w:rsidRPr="45AFEFD9">
        <w:t xml:space="preserve">evaluation of glycemic management practice trends among included study facilities. </w:t>
      </w:r>
    </w:p>
    <w:p w14:paraId="1A3F6918" w14:textId="3B4296D9" w:rsidR="00F7727F" w:rsidRPr="006D42C1" w:rsidRDefault="00F7727F" w:rsidP="00F7727F">
      <w:pPr>
        <w:rPr>
          <w:rFonts w:cstheme="minorHAnsi"/>
        </w:rPr>
      </w:pPr>
      <w:r w:rsidRPr="006D42C1">
        <w:rPr>
          <w:rFonts w:cstheme="minorHAnsi"/>
          <w:b/>
          <w:bCs/>
        </w:rPr>
        <w:t>Methods</w:t>
      </w:r>
      <w:r>
        <w:rPr>
          <w:rFonts w:cstheme="minorHAnsi"/>
        </w:rPr>
        <w:t xml:space="preserve">: </w:t>
      </w:r>
      <w:r>
        <w:t xml:space="preserve">This was a retrospective cohort study utilizing data collected from five </w:t>
      </w:r>
      <w:r w:rsidR="00980099">
        <w:t xml:space="preserve">inpatient </w:t>
      </w:r>
      <w:r>
        <w:t xml:space="preserve">treatment facilities within Novant Health (Forsyth, Presbyterian, Huntersville, Rowan, and Matthews Medical Centers) with timeframe being January 1, 2019 to December 31, 2020. Patients were included if 18 years </w:t>
      </w:r>
      <w:r w:rsidR="002415A3">
        <w:t>or older,</w:t>
      </w:r>
      <w:r>
        <w:t xml:space="preserve"> r</w:t>
      </w:r>
      <w:r w:rsidRPr="353999FA">
        <w:t>equir</w:t>
      </w:r>
      <w:r>
        <w:t>ed</w:t>
      </w:r>
      <w:r w:rsidRPr="353999FA">
        <w:t xml:space="preserve"> PN support and initiation of </w:t>
      </w:r>
      <w:r w:rsidR="00333D33">
        <w:t xml:space="preserve">surveillance monitoring, </w:t>
      </w:r>
      <w:r>
        <w:t>eGlycemic Management</w:t>
      </w:r>
      <w:r w:rsidR="00BD7BE3">
        <w:t xml:space="preserve"> Software (</w:t>
      </w:r>
      <w:proofErr w:type="spellStart"/>
      <w:r w:rsidR="00BD7BE3">
        <w:t>eGMS</w:t>
      </w:r>
      <w:proofErr w:type="spellEnd"/>
      <w:r w:rsidR="00BD7BE3">
        <w:t>)</w:t>
      </w:r>
      <w:r w:rsidRPr="353999FA">
        <w:t xml:space="preserve"> or correctional</w:t>
      </w:r>
      <w:r w:rsidR="00F370A0">
        <w:t xml:space="preserve"> sliding scale</w:t>
      </w:r>
      <w:r w:rsidRPr="353999FA">
        <w:t xml:space="preserve"> insulin</w:t>
      </w:r>
      <w:r w:rsidR="00F370A0">
        <w:t xml:space="preserve"> (SSI)</w:t>
      </w:r>
      <w:r w:rsidRPr="353999FA">
        <w:t xml:space="preserve"> dosing/insulin added to PN</w:t>
      </w:r>
      <w:r>
        <w:t>.</w:t>
      </w:r>
      <w:r w:rsidR="00A677E4">
        <w:t xml:space="preserve"> Patients </w:t>
      </w:r>
      <w:r w:rsidR="00D959D5">
        <w:t xml:space="preserve">were stratified by treatment location, and randomized for inclusion. </w:t>
      </w:r>
    </w:p>
    <w:p w14:paraId="05285811" w14:textId="2F5E7E9F" w:rsidR="00F7727F" w:rsidRPr="00E67843" w:rsidRDefault="00F7727F" w:rsidP="00F7727F">
      <w:pPr>
        <w:spacing w:line="240" w:lineRule="auto"/>
        <w:contextualSpacing/>
        <w:rPr>
          <w:rFonts w:ascii="Calibri" w:hAnsi="Calibri"/>
          <w:bCs/>
        </w:rPr>
      </w:pPr>
      <w:r>
        <w:rPr>
          <w:rFonts w:ascii="Calibri" w:hAnsi="Calibri"/>
          <w:b/>
        </w:rPr>
        <w:t>Results:</w:t>
      </w:r>
      <w:r w:rsidR="00333D33">
        <w:rPr>
          <w:rFonts w:ascii="Calibri" w:hAnsi="Calibri"/>
          <w:b/>
        </w:rPr>
        <w:t xml:space="preserve"> </w:t>
      </w:r>
      <w:r w:rsidR="00A4498B">
        <w:rPr>
          <w:rFonts w:ascii="Calibri" w:hAnsi="Calibri"/>
          <w:bCs/>
        </w:rPr>
        <w:t>Baseline demographics were comparable amongst treatment groups</w:t>
      </w:r>
      <w:r w:rsidR="00FB6FE6">
        <w:rPr>
          <w:rFonts w:ascii="Calibri" w:hAnsi="Calibri"/>
          <w:bCs/>
        </w:rPr>
        <w:t xml:space="preserve">, including patients requiring ICU level care, corticosteroid use, and prior diagnosis of diabetes mellitus. </w:t>
      </w:r>
      <w:r w:rsidR="00E67843">
        <w:rPr>
          <w:rFonts w:ascii="Calibri" w:hAnsi="Calibri"/>
          <w:bCs/>
        </w:rPr>
        <w:t xml:space="preserve">Regarding the primary outcome, patients managed </w:t>
      </w:r>
      <w:r w:rsidR="00BD7BE3">
        <w:rPr>
          <w:rFonts w:ascii="Calibri" w:hAnsi="Calibri"/>
          <w:bCs/>
        </w:rPr>
        <w:t xml:space="preserve">via </w:t>
      </w:r>
      <w:proofErr w:type="spellStart"/>
      <w:r w:rsidR="00BD7BE3">
        <w:rPr>
          <w:rFonts w:ascii="Calibri" w:hAnsi="Calibri"/>
          <w:bCs/>
        </w:rPr>
        <w:t>eGMS</w:t>
      </w:r>
      <w:proofErr w:type="spellEnd"/>
      <w:r w:rsidR="00BD7BE3">
        <w:rPr>
          <w:rFonts w:ascii="Calibri" w:hAnsi="Calibri"/>
          <w:bCs/>
        </w:rPr>
        <w:t xml:space="preserve"> </w:t>
      </w:r>
      <w:r w:rsidR="005D1606">
        <w:rPr>
          <w:rFonts w:ascii="Calibri" w:hAnsi="Calibri"/>
          <w:bCs/>
        </w:rPr>
        <w:t xml:space="preserve">compared to patients managed with correctional </w:t>
      </w:r>
      <w:r w:rsidR="00FB6FE6">
        <w:rPr>
          <w:rFonts w:ascii="Calibri" w:hAnsi="Calibri"/>
          <w:bCs/>
        </w:rPr>
        <w:t>subcutaneous</w:t>
      </w:r>
      <w:r w:rsidR="00B60A69">
        <w:rPr>
          <w:rFonts w:ascii="Calibri" w:hAnsi="Calibri"/>
          <w:bCs/>
        </w:rPr>
        <w:t xml:space="preserve"> </w:t>
      </w:r>
      <w:r w:rsidR="00F370A0">
        <w:rPr>
          <w:rFonts w:ascii="Calibri" w:hAnsi="Calibri"/>
          <w:bCs/>
        </w:rPr>
        <w:t xml:space="preserve">sliding scale </w:t>
      </w:r>
      <w:r w:rsidR="00FB6FE6">
        <w:rPr>
          <w:rFonts w:ascii="Calibri" w:hAnsi="Calibri"/>
          <w:bCs/>
        </w:rPr>
        <w:t>i</w:t>
      </w:r>
      <w:r w:rsidR="00B60A69">
        <w:rPr>
          <w:rFonts w:ascii="Calibri" w:hAnsi="Calibri"/>
          <w:bCs/>
        </w:rPr>
        <w:t xml:space="preserve">nsulin experienced higher rates of hypoglycemia (p = </w:t>
      </w:r>
      <w:r w:rsidR="006E5B2A">
        <w:rPr>
          <w:rFonts w:ascii="Calibri" w:hAnsi="Calibri"/>
          <w:bCs/>
        </w:rPr>
        <w:t xml:space="preserve">0.0096), and hyperglycemia (p = &lt;0.00001). </w:t>
      </w:r>
      <w:r w:rsidR="00B548EB">
        <w:rPr>
          <w:rFonts w:ascii="Calibri" w:hAnsi="Calibri"/>
          <w:bCs/>
        </w:rPr>
        <w:t xml:space="preserve">Regarding secondary outcomes, </w:t>
      </w:r>
      <w:r w:rsidR="00A7743C">
        <w:rPr>
          <w:rFonts w:ascii="Calibri" w:hAnsi="Calibri"/>
          <w:bCs/>
        </w:rPr>
        <w:t xml:space="preserve">44% of patients only required surveillance monitoring </w:t>
      </w:r>
      <w:r w:rsidR="00D4666C">
        <w:rPr>
          <w:rFonts w:ascii="Calibri" w:hAnsi="Calibri"/>
          <w:bCs/>
        </w:rPr>
        <w:t>of BG, 33%</w:t>
      </w:r>
      <w:r w:rsidR="004D52ED">
        <w:rPr>
          <w:rFonts w:ascii="Calibri" w:hAnsi="Calibri"/>
          <w:bCs/>
        </w:rPr>
        <w:t xml:space="preserve"> of patients were managed by </w:t>
      </w:r>
      <w:proofErr w:type="spellStart"/>
      <w:r w:rsidR="004D52ED">
        <w:rPr>
          <w:rFonts w:ascii="Calibri" w:hAnsi="Calibri"/>
          <w:bCs/>
        </w:rPr>
        <w:t>eGMS</w:t>
      </w:r>
      <w:proofErr w:type="spellEnd"/>
      <w:r w:rsidR="004D52ED">
        <w:rPr>
          <w:rFonts w:ascii="Calibri" w:hAnsi="Calibri"/>
          <w:bCs/>
        </w:rPr>
        <w:t xml:space="preserve">, and </w:t>
      </w:r>
      <w:r w:rsidR="006673DF">
        <w:rPr>
          <w:rFonts w:ascii="Calibri" w:hAnsi="Calibri"/>
          <w:bCs/>
        </w:rPr>
        <w:t xml:space="preserve">24% of patients were managed via a traditional subcutaneous </w:t>
      </w:r>
      <w:r w:rsidR="00F370A0">
        <w:rPr>
          <w:rFonts w:ascii="Calibri" w:hAnsi="Calibri"/>
          <w:bCs/>
        </w:rPr>
        <w:t>SSI</w:t>
      </w:r>
      <w:r w:rsidR="006673DF">
        <w:rPr>
          <w:rFonts w:ascii="Calibri" w:hAnsi="Calibri"/>
          <w:bCs/>
        </w:rPr>
        <w:t xml:space="preserve">. Rates of profound hypoglycemia were not significant </w:t>
      </w:r>
      <w:r w:rsidR="00866505">
        <w:rPr>
          <w:rFonts w:ascii="Calibri" w:hAnsi="Calibri"/>
          <w:bCs/>
        </w:rPr>
        <w:t xml:space="preserve">(p = 0.46) between treatment groups. </w:t>
      </w:r>
    </w:p>
    <w:p w14:paraId="77C734A7" w14:textId="77777777" w:rsidR="00F7727F" w:rsidRDefault="00F7727F" w:rsidP="00F7727F">
      <w:pPr>
        <w:spacing w:line="240" w:lineRule="auto"/>
        <w:contextualSpacing/>
        <w:rPr>
          <w:rFonts w:ascii="Calibri" w:hAnsi="Calibri"/>
          <w:b/>
        </w:rPr>
      </w:pPr>
    </w:p>
    <w:p w14:paraId="303BD884" w14:textId="78204154" w:rsidR="00F7727F" w:rsidRPr="00F370A0" w:rsidRDefault="00F7727F" w:rsidP="00F370A0">
      <w:pPr>
        <w:spacing w:line="240" w:lineRule="auto"/>
        <w:contextualSpacing/>
        <w:rPr>
          <w:rFonts w:ascii="Calibri" w:hAnsi="Calibri"/>
        </w:rPr>
      </w:pPr>
      <w:r>
        <w:rPr>
          <w:rFonts w:ascii="Calibri" w:hAnsi="Calibri"/>
          <w:b/>
        </w:rPr>
        <w:t>Conclusion:</w:t>
      </w:r>
      <w:r>
        <w:rPr>
          <w:rFonts w:ascii="Calibri" w:hAnsi="Calibri"/>
        </w:rPr>
        <w:t xml:space="preserve"> </w:t>
      </w:r>
      <w:r w:rsidR="00F370A0" w:rsidRPr="00F370A0">
        <w:rPr>
          <w:rFonts w:ascii="Calibri" w:hAnsi="Calibri"/>
        </w:rPr>
        <w:t xml:space="preserve">For patients on PN requiring glycemic management, our findings suggest that traditional management with </w:t>
      </w:r>
      <w:r w:rsidR="00F370A0">
        <w:rPr>
          <w:rFonts w:ascii="Calibri" w:hAnsi="Calibri"/>
        </w:rPr>
        <w:t>correctional subcutaneous SSI</w:t>
      </w:r>
      <w:r w:rsidR="00F370A0" w:rsidRPr="00F370A0">
        <w:rPr>
          <w:rFonts w:ascii="Calibri" w:hAnsi="Calibri"/>
        </w:rPr>
        <w:t xml:space="preserve"> may be more efficacious in achieving target glucose levels</w:t>
      </w:r>
      <w:r w:rsidR="00F370A0">
        <w:rPr>
          <w:rFonts w:ascii="Calibri" w:hAnsi="Calibri"/>
        </w:rPr>
        <w:t xml:space="preserve">. </w:t>
      </w:r>
      <w:r w:rsidR="00F370A0" w:rsidRPr="00F370A0">
        <w:rPr>
          <w:rFonts w:ascii="Calibri" w:hAnsi="Calibri"/>
        </w:rPr>
        <w:t xml:space="preserve">Use of </w:t>
      </w:r>
      <w:proofErr w:type="spellStart"/>
      <w:r w:rsidR="00F370A0" w:rsidRPr="00F370A0">
        <w:rPr>
          <w:rFonts w:ascii="Calibri" w:hAnsi="Calibri"/>
        </w:rPr>
        <w:t>eGMS</w:t>
      </w:r>
      <w:proofErr w:type="spellEnd"/>
      <w:r w:rsidR="00F370A0" w:rsidRPr="00F370A0">
        <w:rPr>
          <w:rFonts w:ascii="Calibri" w:hAnsi="Calibri"/>
        </w:rPr>
        <w:t xml:space="preserve"> in the management of PN patients resulted in greater incidence of hyperglycemic, and hypoglycemic</w:t>
      </w:r>
      <w:r w:rsidR="00F370A0">
        <w:rPr>
          <w:rFonts w:ascii="Calibri" w:hAnsi="Calibri"/>
        </w:rPr>
        <w:t xml:space="preserve"> episodes, without a </w:t>
      </w:r>
      <w:r w:rsidR="00E70BF8">
        <w:rPr>
          <w:rFonts w:ascii="Calibri" w:hAnsi="Calibri"/>
        </w:rPr>
        <w:t xml:space="preserve">difference in rates of profound hypoglycemia. </w:t>
      </w:r>
      <w:r w:rsidR="00425CA5" w:rsidRPr="00425CA5">
        <w:rPr>
          <w:rFonts w:ascii="Calibri" w:hAnsi="Calibri"/>
        </w:rPr>
        <w:t xml:space="preserve">Practice trends for glycemic management among </w:t>
      </w:r>
      <w:r w:rsidR="00425CA5">
        <w:rPr>
          <w:rFonts w:ascii="Calibri" w:hAnsi="Calibri"/>
        </w:rPr>
        <w:t xml:space="preserve">Novant Health </w:t>
      </w:r>
      <w:r w:rsidR="00425CA5" w:rsidRPr="00425CA5">
        <w:rPr>
          <w:rFonts w:ascii="Calibri" w:hAnsi="Calibri"/>
        </w:rPr>
        <w:t>facilities var</w:t>
      </w:r>
      <w:r w:rsidR="00425CA5">
        <w:rPr>
          <w:rFonts w:ascii="Calibri" w:hAnsi="Calibri"/>
        </w:rPr>
        <w:t>ies</w:t>
      </w:r>
      <w:r w:rsidR="00425CA5" w:rsidRPr="00425CA5">
        <w:rPr>
          <w:rFonts w:ascii="Calibri" w:hAnsi="Calibri"/>
        </w:rPr>
        <w:t xml:space="preserve">, </w:t>
      </w:r>
      <w:r w:rsidR="00ED5F5A">
        <w:rPr>
          <w:rFonts w:ascii="Calibri" w:hAnsi="Calibri"/>
        </w:rPr>
        <w:t xml:space="preserve">with some locations </w:t>
      </w:r>
      <w:r w:rsidR="00425CA5" w:rsidRPr="00425CA5">
        <w:rPr>
          <w:rFonts w:ascii="Calibri" w:hAnsi="Calibri"/>
        </w:rPr>
        <w:t xml:space="preserve">utilizing traditional </w:t>
      </w:r>
      <w:r w:rsidR="00ED5F5A">
        <w:rPr>
          <w:rFonts w:ascii="Calibri" w:hAnsi="Calibri"/>
        </w:rPr>
        <w:t>subcutaneous SSI</w:t>
      </w:r>
      <w:r w:rsidR="00425CA5" w:rsidRPr="00425CA5">
        <w:rPr>
          <w:rFonts w:ascii="Calibri" w:hAnsi="Calibri"/>
        </w:rPr>
        <w:t xml:space="preserve"> options more commonly</w:t>
      </w:r>
      <w:r w:rsidR="00ED5F5A">
        <w:rPr>
          <w:rFonts w:ascii="Calibri" w:hAnsi="Calibri"/>
        </w:rPr>
        <w:t xml:space="preserve"> to manage patients on PN. </w:t>
      </w:r>
    </w:p>
    <w:p w14:paraId="649571C2" w14:textId="77777777" w:rsidR="008B0861" w:rsidRPr="008B0861" w:rsidRDefault="008B0861"/>
    <w:sectPr w:rsidR="008B0861" w:rsidRPr="008B0861" w:rsidSect="003F5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01F1"/>
    <w:multiLevelType w:val="hybridMultilevel"/>
    <w:tmpl w:val="C32C2676"/>
    <w:lvl w:ilvl="0" w:tplc="0B3C69F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71B57"/>
    <w:multiLevelType w:val="hybridMultilevel"/>
    <w:tmpl w:val="356E1E44"/>
    <w:lvl w:ilvl="0" w:tplc="0B3C69F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C8"/>
    <w:rsid w:val="000665E4"/>
    <w:rsid w:val="000837F4"/>
    <w:rsid w:val="00087188"/>
    <w:rsid w:val="000C277B"/>
    <w:rsid w:val="000D4CED"/>
    <w:rsid w:val="000F2377"/>
    <w:rsid w:val="00177CF4"/>
    <w:rsid w:val="002415A3"/>
    <w:rsid w:val="0024768C"/>
    <w:rsid w:val="00263A54"/>
    <w:rsid w:val="00277EC8"/>
    <w:rsid w:val="00333D33"/>
    <w:rsid w:val="003B658F"/>
    <w:rsid w:val="003F5EDF"/>
    <w:rsid w:val="00425CA5"/>
    <w:rsid w:val="00443EBF"/>
    <w:rsid w:val="004814B8"/>
    <w:rsid w:val="004D52ED"/>
    <w:rsid w:val="0051464A"/>
    <w:rsid w:val="00557E55"/>
    <w:rsid w:val="00583CC1"/>
    <w:rsid w:val="005A0B87"/>
    <w:rsid w:val="005D1606"/>
    <w:rsid w:val="00642AF0"/>
    <w:rsid w:val="00650347"/>
    <w:rsid w:val="00650EE8"/>
    <w:rsid w:val="006673DF"/>
    <w:rsid w:val="006C25B3"/>
    <w:rsid w:val="006C7E9F"/>
    <w:rsid w:val="006E5B2A"/>
    <w:rsid w:val="00802527"/>
    <w:rsid w:val="00823DD3"/>
    <w:rsid w:val="00866505"/>
    <w:rsid w:val="008A1B11"/>
    <w:rsid w:val="008B0861"/>
    <w:rsid w:val="00980099"/>
    <w:rsid w:val="00A012F2"/>
    <w:rsid w:val="00A02424"/>
    <w:rsid w:val="00A4498B"/>
    <w:rsid w:val="00A677E4"/>
    <w:rsid w:val="00A7743C"/>
    <w:rsid w:val="00AE60F3"/>
    <w:rsid w:val="00B548EB"/>
    <w:rsid w:val="00B60A69"/>
    <w:rsid w:val="00BD7BE3"/>
    <w:rsid w:val="00C04FBE"/>
    <w:rsid w:val="00C307D7"/>
    <w:rsid w:val="00C46C30"/>
    <w:rsid w:val="00C9683B"/>
    <w:rsid w:val="00D3485E"/>
    <w:rsid w:val="00D4666C"/>
    <w:rsid w:val="00D959D5"/>
    <w:rsid w:val="00DD32E1"/>
    <w:rsid w:val="00DE2E1B"/>
    <w:rsid w:val="00E25C26"/>
    <w:rsid w:val="00E67843"/>
    <w:rsid w:val="00E70BF8"/>
    <w:rsid w:val="00ED5F5A"/>
    <w:rsid w:val="00EE54E8"/>
    <w:rsid w:val="00F370A0"/>
    <w:rsid w:val="00F560D8"/>
    <w:rsid w:val="00F657C8"/>
    <w:rsid w:val="00F7727F"/>
    <w:rsid w:val="00FB6FE6"/>
    <w:rsid w:val="00FD0351"/>
    <w:rsid w:val="1B898896"/>
    <w:rsid w:val="45AFEFD9"/>
    <w:rsid w:val="6FD9E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017D"/>
  <w15:chartTrackingRefBased/>
  <w15:docId w15:val="{CC6B4265-0C20-42D4-B9F4-F05D17B3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61"/>
    <w:pPr>
      <w:ind w:left="720"/>
      <w:contextualSpacing/>
    </w:pPr>
  </w:style>
  <w:style w:type="character" w:styleId="CommentReference">
    <w:name w:val="annotation reference"/>
    <w:basedOn w:val="DefaultParagraphFont"/>
    <w:uiPriority w:val="99"/>
    <w:semiHidden/>
    <w:unhideWhenUsed/>
    <w:rsid w:val="00443EBF"/>
    <w:rPr>
      <w:sz w:val="16"/>
      <w:szCs w:val="16"/>
    </w:rPr>
  </w:style>
  <w:style w:type="paragraph" w:styleId="CommentText">
    <w:name w:val="annotation text"/>
    <w:basedOn w:val="Normal"/>
    <w:link w:val="CommentTextChar"/>
    <w:uiPriority w:val="99"/>
    <w:semiHidden/>
    <w:unhideWhenUsed/>
    <w:rsid w:val="00443EBF"/>
    <w:pPr>
      <w:spacing w:line="240" w:lineRule="auto"/>
    </w:pPr>
    <w:rPr>
      <w:sz w:val="20"/>
      <w:szCs w:val="20"/>
    </w:rPr>
  </w:style>
  <w:style w:type="character" w:customStyle="1" w:styleId="CommentTextChar">
    <w:name w:val="Comment Text Char"/>
    <w:basedOn w:val="DefaultParagraphFont"/>
    <w:link w:val="CommentText"/>
    <w:uiPriority w:val="99"/>
    <w:semiHidden/>
    <w:rsid w:val="00443EBF"/>
    <w:rPr>
      <w:sz w:val="20"/>
      <w:szCs w:val="20"/>
    </w:rPr>
  </w:style>
  <w:style w:type="paragraph" w:styleId="CommentSubject">
    <w:name w:val="annotation subject"/>
    <w:basedOn w:val="CommentText"/>
    <w:next w:val="CommentText"/>
    <w:link w:val="CommentSubjectChar"/>
    <w:uiPriority w:val="99"/>
    <w:semiHidden/>
    <w:unhideWhenUsed/>
    <w:rsid w:val="00443EBF"/>
    <w:rPr>
      <w:b/>
      <w:bCs/>
    </w:rPr>
  </w:style>
  <w:style w:type="character" w:customStyle="1" w:styleId="CommentSubjectChar">
    <w:name w:val="Comment Subject Char"/>
    <w:basedOn w:val="CommentTextChar"/>
    <w:link w:val="CommentSubject"/>
    <w:uiPriority w:val="99"/>
    <w:semiHidden/>
    <w:rsid w:val="00443EBF"/>
    <w:rPr>
      <w:b/>
      <w:bCs/>
      <w:sz w:val="20"/>
      <w:szCs w:val="20"/>
    </w:rPr>
  </w:style>
  <w:style w:type="paragraph" w:styleId="BalloonText">
    <w:name w:val="Balloon Text"/>
    <w:basedOn w:val="Normal"/>
    <w:link w:val="BalloonTextChar"/>
    <w:uiPriority w:val="99"/>
    <w:semiHidden/>
    <w:unhideWhenUsed/>
    <w:rsid w:val="0044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63150">
      <w:bodyDiv w:val="1"/>
      <w:marLeft w:val="0"/>
      <w:marRight w:val="0"/>
      <w:marTop w:val="0"/>
      <w:marBottom w:val="0"/>
      <w:divBdr>
        <w:top w:val="none" w:sz="0" w:space="0" w:color="auto"/>
        <w:left w:val="none" w:sz="0" w:space="0" w:color="auto"/>
        <w:bottom w:val="none" w:sz="0" w:space="0" w:color="auto"/>
        <w:right w:val="none" w:sz="0" w:space="0" w:color="auto"/>
      </w:divBdr>
      <w:divsChild>
        <w:div w:id="212175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4CCF846F9484F8F1A37000E977741" ma:contentTypeVersion="4" ma:contentTypeDescription="Create a new document." ma:contentTypeScope="" ma:versionID="2320b2a363c330de0097c7f59325bc09">
  <xsd:schema xmlns:xsd="http://www.w3.org/2001/XMLSchema" xmlns:xs="http://www.w3.org/2001/XMLSchema" xmlns:p="http://schemas.microsoft.com/office/2006/metadata/properties" xmlns:ns2="8eec4272-59c6-47f7-b568-b68a877b0d91" targetNamespace="http://schemas.microsoft.com/office/2006/metadata/properties" ma:root="true" ma:fieldsID="d4bbe16e92cf4029166ea0366a24c3a1" ns2:_="">
    <xsd:import namespace="8eec4272-59c6-47f7-b568-b68a877b0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4272-59c6-47f7-b568-b68a877b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A1E4D-129D-458E-81A9-D532545B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c4272-59c6-47f7-b568-b68a877b0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FC9DF-309B-4FDD-8B0F-994950162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A8B147-2EB6-459A-BF8F-7680BA0B3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Novant Health, Inc.</dc:creator>
  <cp:keywords/>
  <dc:description/>
  <cp:lastModifiedBy>Justin McCurry</cp:lastModifiedBy>
  <cp:revision>46</cp:revision>
  <dcterms:created xsi:type="dcterms:W3CDTF">2022-02-24T15:22:00Z</dcterms:created>
  <dcterms:modified xsi:type="dcterms:W3CDTF">2022-05-06T21:13:00Z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0x0101008574CCF846F9484F8F1A37000E977741</vt:lpwstr>
  </property>
</Properties>
</file>