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B9E80DD" w:rsidP="2B9E80DD" w:rsidRDefault="2B9E80DD" w14:paraId="4FECAA24" w14:textId="01651F3D">
      <w:pPr>
        <w:pStyle w:val="NoSpacing"/>
      </w:pPr>
    </w:p>
    <w:p xmlns:wp14="http://schemas.microsoft.com/office/word/2010/wordml" w:rsidP="2B9E80DD" w14:paraId="3C471891" wp14:textId="4902D737">
      <w:pPr>
        <w:spacing w:after="160" w:afterAutospacing="off" w:line="240"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bookmarkStart w:name="_Int_2KT4OumP" w:id="2095188057"/>
      <w:r w:rsidRPr="2B9E80DD" w:rsidR="0CC0796F">
        <w:rPr>
          <w:rFonts w:ascii="Calibri" w:hAnsi="Calibri" w:eastAsia="Calibri" w:cs="Calibri"/>
          <w:b w:val="1"/>
          <w:bCs w:val="1"/>
          <w:i w:val="0"/>
          <w:iCs w:val="0"/>
          <w:caps w:val="0"/>
          <w:smallCaps w:val="0"/>
          <w:noProof w:val="0"/>
          <w:color w:val="000000" w:themeColor="text1" w:themeTint="FF" w:themeShade="FF"/>
          <w:sz w:val="24"/>
          <w:szCs w:val="24"/>
          <w:lang w:val="en-US"/>
        </w:rPr>
        <w:t>Assessment of Surgical Prophylaxis Choice in Patients Undergoing Joint Replacement or Spine Surgery</w:t>
      </w:r>
      <w:bookmarkEnd w:id="2095188057"/>
    </w:p>
    <w:p w:rsidR="092452F1" w:rsidP="092452F1" w:rsidRDefault="092452F1" w14:paraId="16423B8B" w14:textId="147C9932">
      <w:pPr>
        <w:spacing w:after="160" w:afterAutospacing="off"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92452F1" w:rsidR="092452F1">
        <w:rPr>
          <w:rFonts w:ascii="Calibri" w:hAnsi="Calibri" w:eastAsia="Calibri" w:cs="Calibri"/>
          <w:b w:val="1"/>
          <w:bCs w:val="1"/>
          <w:i w:val="0"/>
          <w:iCs w:val="0"/>
          <w:caps w:val="0"/>
          <w:smallCaps w:val="0"/>
          <w:noProof w:val="0"/>
          <w:color w:val="000000" w:themeColor="text1" w:themeTint="FF" w:themeShade="FF"/>
          <w:sz w:val="24"/>
          <w:szCs w:val="24"/>
          <w:lang w:val="en-US"/>
        </w:rPr>
        <w:t>Authors:</w:t>
      </w:r>
      <w:r w:rsidRPr="092452F1" w:rsidR="092452F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Thomas Jacky; Mariah Gibbs; Nicole Small; Jeremy Frens</w:t>
      </w:r>
    </w:p>
    <w:p w:rsidR="34F5FBF3" w:rsidP="34F5FBF3" w:rsidRDefault="34F5FBF3" w14:paraId="6CB88590" w14:textId="73E75203">
      <w:pPr>
        <w:pStyle w:val="Normal"/>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4F5FBF3" w:rsidR="34F5FBF3">
        <w:rPr>
          <w:rFonts w:ascii="Calibri" w:hAnsi="Calibri" w:eastAsia="Calibri" w:cs="Calibri"/>
          <w:b w:val="1"/>
          <w:bCs w:val="1"/>
          <w:i w:val="0"/>
          <w:iCs w:val="0"/>
          <w:caps w:val="0"/>
          <w:smallCaps w:val="0"/>
          <w:noProof w:val="0"/>
          <w:color w:val="000000" w:themeColor="text1" w:themeTint="FF" w:themeShade="FF"/>
          <w:sz w:val="24"/>
          <w:szCs w:val="24"/>
          <w:lang w:val="en-US"/>
        </w:rPr>
        <w:t xml:space="preserve">Background: </w:t>
      </w:r>
      <w:r w:rsidRPr="34F5FBF3" w:rsidR="34F5FBF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Surgical site infections are associated with morbidity and recurrent complications. Screening and decolonization of </w:t>
      </w:r>
      <w:r w:rsidRPr="34F5FBF3" w:rsidR="34F5FBF3">
        <w:rPr>
          <w:rFonts w:ascii="Calibri" w:hAnsi="Calibri" w:eastAsia="Calibri" w:cs="Calibri"/>
          <w:b w:val="0"/>
          <w:bCs w:val="0"/>
          <w:i w:val="1"/>
          <w:iCs w:val="1"/>
          <w:caps w:val="0"/>
          <w:smallCaps w:val="0"/>
          <w:noProof w:val="0"/>
          <w:color w:val="000000" w:themeColor="text1" w:themeTint="FF" w:themeShade="FF"/>
          <w:sz w:val="24"/>
          <w:szCs w:val="24"/>
          <w:lang w:val="en-US"/>
        </w:rPr>
        <w:t>Staphylococcus aureus</w:t>
      </w:r>
      <w:r w:rsidRPr="34F5FBF3" w:rsidR="34F5FBF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34F5FBF3" w:rsidR="34F5FBF3">
        <w:rPr>
          <w:rFonts w:ascii="Calibri" w:hAnsi="Calibri" w:eastAsia="Calibri" w:cs="Calibri"/>
          <w:b w:val="0"/>
          <w:bCs w:val="0"/>
          <w:i w:val="1"/>
          <w:iCs w:val="1"/>
          <w:caps w:val="0"/>
          <w:smallCaps w:val="0"/>
          <w:noProof w:val="0"/>
          <w:color w:val="000000" w:themeColor="text1" w:themeTint="FF" w:themeShade="FF"/>
          <w:sz w:val="24"/>
          <w:szCs w:val="24"/>
          <w:lang w:val="en-US"/>
        </w:rPr>
        <w:t>S. aureus</w:t>
      </w:r>
      <w:r w:rsidRPr="34F5FBF3" w:rsidR="34F5FBF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decreases perioperative infection rates and improves patient outcomes. Polymerase chain reaction (PCR)-based testing for </w:t>
      </w:r>
      <w:r w:rsidRPr="34F5FBF3" w:rsidR="34F5FBF3">
        <w:rPr>
          <w:rFonts w:ascii="Calibri" w:hAnsi="Calibri" w:eastAsia="Calibri" w:cs="Calibri"/>
          <w:b w:val="0"/>
          <w:bCs w:val="0"/>
          <w:i w:val="1"/>
          <w:iCs w:val="1"/>
          <w:caps w:val="0"/>
          <w:smallCaps w:val="0"/>
          <w:noProof w:val="0"/>
          <w:color w:val="000000" w:themeColor="text1" w:themeTint="FF" w:themeShade="FF"/>
          <w:sz w:val="24"/>
          <w:szCs w:val="24"/>
          <w:lang w:val="en-US"/>
        </w:rPr>
        <w:t>S. aureus</w:t>
      </w:r>
      <w:r w:rsidRPr="34F5FBF3" w:rsidR="34F5FBF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is highly sensitive and specific. This project evaluated the impact of pharmacist-led antibiotic prophylaxis for joint replacement or spine surgery.</w:t>
      </w:r>
    </w:p>
    <w:p w:rsidR="34F5FBF3" w:rsidP="2B9E80DD" w:rsidRDefault="34F5FBF3" w14:paraId="1B32FD46" w14:textId="7369C372">
      <w:pPr>
        <w:pStyle w:val="Normal"/>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B9E80DD" w:rsidR="34F5FBF3">
        <w:rPr>
          <w:rFonts w:ascii="Calibri" w:hAnsi="Calibri" w:eastAsia="Calibri" w:cs="Calibri"/>
          <w:b w:val="1"/>
          <w:bCs w:val="1"/>
          <w:i w:val="0"/>
          <w:iCs w:val="0"/>
          <w:caps w:val="0"/>
          <w:smallCaps w:val="0"/>
          <w:noProof w:val="0"/>
          <w:color w:val="000000" w:themeColor="text1" w:themeTint="FF" w:themeShade="FF"/>
          <w:sz w:val="24"/>
          <w:szCs w:val="24"/>
          <w:lang w:val="en-US"/>
        </w:rPr>
        <w:t xml:space="preserve">Methods: </w:t>
      </w:r>
      <w:r w:rsidRPr="2B9E80DD" w:rsidR="34F5FBF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This </w:t>
      </w:r>
      <w:r w:rsidRPr="2B9E80DD" w:rsidR="34F5FBF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prospective, </w:t>
      </w:r>
      <w:r w:rsidRPr="2B9E80DD" w:rsidR="34F5FBF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single-health system study compared surgeon selected preoperative antibiotics to pharmacist-led antibiotic optimization in </w:t>
      </w:r>
      <w:r w:rsidRPr="2B9E80DD" w:rsidR="34F5FBF3">
        <w:rPr>
          <w:rFonts w:ascii="Calibri" w:hAnsi="Calibri" w:eastAsia="Calibri" w:cs="Calibri"/>
          <w:b w:val="0"/>
          <w:bCs w:val="0"/>
          <w:i w:val="1"/>
          <w:iCs w:val="1"/>
          <w:caps w:val="0"/>
          <w:smallCaps w:val="0"/>
          <w:noProof w:val="0"/>
          <w:color w:val="000000" w:themeColor="text1" w:themeTint="FF" w:themeShade="FF"/>
          <w:sz w:val="24"/>
          <w:szCs w:val="24"/>
          <w:lang w:val="en-US"/>
        </w:rPr>
        <w:t>S. aureus-</w:t>
      </w:r>
      <w:r w:rsidRPr="2B9E80DD" w:rsidR="34F5FBF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colonized patients. Patients with </w:t>
      </w:r>
      <w:r w:rsidRPr="2B9E80DD" w:rsidR="34F5FBF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methicillin-resistant </w:t>
      </w:r>
      <w:r w:rsidRPr="2B9E80DD" w:rsidR="34F5FBF3">
        <w:rPr>
          <w:rFonts w:ascii="Calibri" w:hAnsi="Calibri" w:eastAsia="Calibri" w:cs="Calibri"/>
          <w:b w:val="0"/>
          <w:bCs w:val="0"/>
          <w:i w:val="1"/>
          <w:iCs w:val="1"/>
          <w:caps w:val="0"/>
          <w:smallCaps w:val="0"/>
          <w:noProof w:val="0"/>
          <w:color w:val="000000" w:themeColor="text1" w:themeTint="FF" w:themeShade="FF"/>
          <w:sz w:val="24"/>
          <w:szCs w:val="24"/>
          <w:lang w:val="en-US"/>
        </w:rPr>
        <w:t>S. aureus</w:t>
      </w:r>
      <w:r w:rsidRPr="2B9E80DD" w:rsidR="34F5FBF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(MRSA) </w:t>
      </w:r>
      <w:r w:rsidRPr="2B9E80DD" w:rsidR="34F5FBF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or methicillin-sensitive </w:t>
      </w:r>
      <w:r w:rsidRPr="2B9E80DD" w:rsidR="34F5FBF3">
        <w:rPr>
          <w:rFonts w:ascii="Calibri" w:hAnsi="Calibri" w:eastAsia="Calibri" w:cs="Calibri"/>
          <w:b w:val="0"/>
          <w:bCs w:val="0"/>
          <w:i w:val="1"/>
          <w:iCs w:val="1"/>
          <w:caps w:val="0"/>
          <w:smallCaps w:val="0"/>
          <w:noProof w:val="0"/>
          <w:color w:val="000000" w:themeColor="text1" w:themeTint="FF" w:themeShade="FF"/>
          <w:sz w:val="24"/>
          <w:szCs w:val="24"/>
          <w:lang w:val="en-US"/>
        </w:rPr>
        <w:t>S. aureus</w:t>
      </w:r>
      <w:r w:rsidRPr="2B9E80DD" w:rsidR="34F5FBF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(MSSA) positive PCR and undergoing joint replacement or spine surgery between March 2017 and March 2021 were reviewed. In April 2019, a new process of p</w:t>
      </w:r>
      <w:r w:rsidRPr="2B9E80DD" w:rsidR="34F5FBF3">
        <w:rPr>
          <w:rFonts w:ascii="Calibri" w:hAnsi="Calibri" w:eastAsia="Calibri" w:cs="Calibri"/>
          <w:b w:val="0"/>
          <w:bCs w:val="0"/>
          <w:i w:val="0"/>
          <w:iCs w:val="0"/>
          <w:caps w:val="0"/>
          <w:smallCaps w:val="0"/>
          <w:noProof w:val="0"/>
          <w:color w:val="000000" w:themeColor="text1" w:themeTint="FF" w:themeShade="FF"/>
          <w:sz w:val="24"/>
          <w:szCs w:val="24"/>
          <w:lang w:val="en-US"/>
        </w:rPr>
        <w:t>harmacist-led antibiotic optimization was initiated</w:t>
      </w:r>
      <w:r w:rsidRPr="2B9E80DD" w:rsidR="34F5FBF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Pharmacists reviewed all preoperative nasal PCRs and surgeon-ordered antibiotics. In cases of PCR and antibiotic mismatch, pharmacists optimized antibiotics based on institution protocol. Cefazolin was preferred if MSSA-positive, and vancomycin plus cefazolin if MRSA-positive. The primary outcome was </w:t>
      </w:r>
      <w:r w:rsidRPr="2B9E80DD" w:rsidR="34F5FBF3">
        <w:rPr>
          <w:rFonts w:ascii="Calibri" w:hAnsi="Calibri" w:eastAsia="Calibri" w:cs="Calibri"/>
          <w:b w:val="0"/>
          <w:bCs w:val="0"/>
          <w:i w:val="0"/>
          <w:iCs w:val="0"/>
          <w:caps w:val="0"/>
          <w:smallCaps w:val="0"/>
          <w:noProof w:val="0"/>
          <w:color w:val="000000" w:themeColor="text1" w:themeTint="FF" w:themeShade="FF"/>
          <w:sz w:val="24"/>
          <w:szCs w:val="24"/>
          <w:lang w:val="en-US"/>
        </w:rPr>
        <w:t>the rate</w:t>
      </w:r>
      <w:r w:rsidRPr="2B9E80DD" w:rsidR="34F5FBF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of MRSA-</w:t>
      </w:r>
      <w:r w:rsidRPr="2B9E80DD" w:rsidR="34F5FBF3">
        <w:rPr>
          <w:rFonts w:ascii="Calibri" w:hAnsi="Calibri" w:eastAsia="Calibri" w:cs="Calibri"/>
          <w:b w:val="0"/>
          <w:bCs w:val="0"/>
          <w:i w:val="0"/>
          <w:iCs w:val="0"/>
          <w:caps w:val="0"/>
          <w:smallCaps w:val="0"/>
          <w:noProof w:val="0"/>
          <w:color w:val="000000" w:themeColor="text1" w:themeTint="FF" w:themeShade="FF"/>
          <w:sz w:val="24"/>
          <w:szCs w:val="24"/>
          <w:lang w:val="en-US"/>
        </w:rPr>
        <w:t>colonized</w:t>
      </w:r>
      <w:r w:rsidRPr="2B9E80DD" w:rsidR="34F5FBF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patients who received either vancomycin or clindamycin preoperatively. Secondary outcomes included </w:t>
      </w:r>
      <w:r w:rsidRPr="2B9E80DD" w:rsidR="34F5FBF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appropriate </w:t>
      </w:r>
      <w:r w:rsidRPr="2B9E80DD" w:rsidR="34F5FBF3">
        <w:rPr>
          <w:rFonts w:ascii="Calibri" w:hAnsi="Calibri" w:eastAsia="Calibri" w:cs="Calibri"/>
          <w:b w:val="0"/>
          <w:bCs w:val="0"/>
          <w:i w:val="0"/>
          <w:iCs w:val="0"/>
          <w:caps w:val="0"/>
          <w:smallCaps w:val="0"/>
          <w:noProof w:val="0"/>
          <w:color w:val="000000" w:themeColor="text1" w:themeTint="FF" w:themeShade="FF"/>
          <w:sz w:val="24"/>
          <w:szCs w:val="24"/>
          <w:lang w:val="en-US"/>
        </w:rPr>
        <w:t>antibiotic dose and timing, and surgical site infection rate by surgery type and causative organism.</w:t>
      </w:r>
    </w:p>
    <w:p w:rsidR="34F5FBF3" w:rsidP="2B9E80DD" w:rsidRDefault="34F5FBF3" w14:paraId="4A7A34A6" w14:textId="4BA77B21">
      <w:pPr>
        <w:pStyle w:val="Normal"/>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B9E80DD" w:rsidR="34F5FBF3">
        <w:rPr>
          <w:rFonts w:ascii="Calibri" w:hAnsi="Calibri" w:eastAsia="Calibri" w:cs="Calibri"/>
          <w:b w:val="1"/>
          <w:bCs w:val="1"/>
          <w:i w:val="0"/>
          <w:iCs w:val="0"/>
          <w:caps w:val="0"/>
          <w:smallCaps w:val="0"/>
          <w:noProof w:val="0"/>
          <w:color w:val="000000" w:themeColor="text1" w:themeTint="FF" w:themeShade="FF"/>
          <w:sz w:val="24"/>
          <w:szCs w:val="24"/>
          <w:lang w:val="en-US"/>
        </w:rPr>
        <w:t xml:space="preserve">Results: </w:t>
      </w:r>
      <w:r w:rsidRPr="2B9E80DD" w:rsidR="34F5FBF3">
        <w:rPr>
          <w:rFonts w:ascii="Calibri" w:hAnsi="Calibri" w:eastAsia="Calibri" w:cs="Calibri"/>
          <w:b w:val="0"/>
          <w:bCs w:val="0"/>
          <w:i w:val="0"/>
          <w:iCs w:val="0"/>
          <w:caps w:val="0"/>
          <w:smallCaps w:val="0"/>
          <w:noProof w:val="0"/>
          <w:color w:val="000000" w:themeColor="text1" w:themeTint="FF" w:themeShade="FF"/>
          <w:sz w:val="24"/>
          <w:szCs w:val="24"/>
          <w:lang w:val="en-US"/>
        </w:rPr>
        <w:t>Baseline characteristics were similar</w:t>
      </w:r>
      <w:r w:rsidRPr="2B9E80DD" w:rsidR="34F5FBF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in both groups</w:t>
      </w:r>
      <w:r w:rsidRPr="2B9E80DD" w:rsidR="34F5FBF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2B9E80DD" w:rsidR="34F5FBF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Pre- and post-intervention groups displayed similar rates of </w:t>
      </w:r>
      <w:r w:rsidRPr="2B9E80DD" w:rsidR="34F5FBF3">
        <w:rPr>
          <w:rFonts w:ascii="Calibri" w:hAnsi="Calibri" w:eastAsia="Calibri" w:cs="Calibri"/>
          <w:b w:val="0"/>
          <w:bCs w:val="0"/>
          <w:i w:val="1"/>
          <w:iCs w:val="1"/>
          <w:caps w:val="0"/>
          <w:smallCaps w:val="0"/>
          <w:noProof w:val="0"/>
          <w:color w:val="000000" w:themeColor="text1" w:themeTint="FF" w:themeShade="FF"/>
          <w:sz w:val="24"/>
          <w:szCs w:val="24"/>
          <w:lang w:val="en-US"/>
        </w:rPr>
        <w:t>S. aureus</w:t>
      </w:r>
      <w:r w:rsidRPr="2B9E80DD" w:rsidR="34F5FBF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colonization with approximately </w:t>
      </w:r>
      <w:r w:rsidRPr="2B9E80DD" w:rsidR="34F5FBF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18% of patients who </w:t>
      </w:r>
      <w:bookmarkStart w:name="_Int_38dPpFSk" w:id="1845793026"/>
      <w:r w:rsidRPr="2B9E80DD" w:rsidR="34F5FBF3">
        <w:rPr>
          <w:rFonts w:ascii="Calibri" w:hAnsi="Calibri" w:eastAsia="Calibri" w:cs="Calibri"/>
          <w:b w:val="0"/>
          <w:bCs w:val="0"/>
          <w:i w:val="0"/>
          <w:iCs w:val="0"/>
          <w:caps w:val="0"/>
          <w:smallCaps w:val="0"/>
          <w:noProof w:val="0"/>
          <w:color w:val="000000" w:themeColor="text1" w:themeTint="FF" w:themeShade="FF"/>
          <w:sz w:val="24"/>
          <w:szCs w:val="24"/>
          <w:lang w:val="en-US"/>
        </w:rPr>
        <w:t>were</w:t>
      </w:r>
      <w:bookmarkEnd w:id="1845793026"/>
      <w:r w:rsidRPr="2B9E80DD" w:rsidR="34F5FBF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MRSA positive. The primary outcome of MRSA-positive patients receiving appropriate antibiotics was greater when compared to the pre-intervention (85.3% vs 61.2%); with greatest improvement observed in spine, knee, and hip procedures. Antibiotic dosing was appropriate and consistent across both groups and all surgery types. While the rate of appropriate timing of administration relative to procedure start was similar (97.5% vs 95.2%), a decline was seen with vancomycin (92.1% vs 82.2%). </w:t>
      </w:r>
    </w:p>
    <w:p w:rsidR="34F5FBF3" w:rsidP="2B9E80DD" w:rsidRDefault="34F5FBF3" w14:paraId="4608FDFD" w14:textId="31B788A2">
      <w:pPr>
        <w:pStyle w:val="Normal"/>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B9E80DD" w:rsidR="34F5FBF3">
        <w:rPr>
          <w:rFonts w:ascii="Calibri" w:hAnsi="Calibri" w:eastAsia="Calibri" w:cs="Calibri"/>
          <w:b w:val="1"/>
          <w:bCs w:val="1"/>
          <w:i w:val="0"/>
          <w:iCs w:val="0"/>
          <w:caps w:val="0"/>
          <w:smallCaps w:val="0"/>
          <w:noProof w:val="0"/>
          <w:color w:val="000000" w:themeColor="text1" w:themeTint="FF" w:themeShade="FF"/>
          <w:sz w:val="24"/>
          <w:szCs w:val="24"/>
          <w:lang w:val="en-US"/>
        </w:rPr>
        <w:t xml:space="preserve">Conclusions: </w:t>
      </w:r>
      <w:r w:rsidRPr="2B9E80DD" w:rsidR="34F5FBF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This study supports pharmacist involvement in perioperative antimicrobial stewardship. Pharmacist-led antibiotic optimization resulted in more accurate preoperative antibiotic selection. The greatest improvement was seen in spine and knee procedures. Antibiotic dosing was overall appropriate and consistent across groups and surgery types. </w:t>
      </w:r>
    </w:p>
    <w:p w:rsidR="34F5FBF3" w:rsidP="34F5FBF3" w:rsidRDefault="34F5FBF3" w14:paraId="15FFDD50" w14:textId="213798F8">
      <w:pPr>
        <w:pStyle w:val="Normal"/>
        <w:spacing w:after="0" w:afterAutospacing="off"/>
      </w:pPr>
      <w:r w:rsidRPr="092452F1" w:rsidR="092452F1">
        <w:rPr>
          <w:b w:val="1"/>
          <w:bCs w:val="1"/>
        </w:rPr>
        <w:t>Author Contact:</w:t>
      </w:r>
      <w:r w:rsidR="092452F1">
        <w:rPr/>
        <w:t xml:space="preserve"> </w:t>
      </w:r>
      <w:hyperlink r:id="R2aea5c22f51d4ac8">
        <w:r w:rsidRPr="092452F1" w:rsidR="092452F1">
          <w:rPr>
            <w:rStyle w:val="Hyperlink"/>
          </w:rPr>
          <w:t>thomas.jacky@conehealth.com</w:t>
        </w:r>
      </w:hyperlink>
      <w:r w:rsidR="092452F1">
        <w:rPr/>
        <w:t xml:space="preserve"> </w:t>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2KT4OumP" int2:invalidationBookmarkName="" int2:hashCode="Zrpx38vZM9TQBK" int2:id="qoqkuGpE">
      <int2:state int2:type="WordDesignerSuggestedImageAnnotation" int2:value="Reviewed"/>
    </int2:bookmark>
    <int2:bookmark int2:bookmarkName="_Int_38dPpFSk" int2:invalidationBookmarkName="" int2:hashCode="oxXe4L0i9FJl9n" int2:id="FNvgkK8X">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7AEACC1"/>
    <w:rsid w:val="001904C2"/>
    <w:rsid w:val="02B5116D"/>
    <w:rsid w:val="03D10879"/>
    <w:rsid w:val="05B24003"/>
    <w:rsid w:val="08DCFB11"/>
    <w:rsid w:val="08DCFB11"/>
    <w:rsid w:val="092452F1"/>
    <w:rsid w:val="0A6C88C9"/>
    <w:rsid w:val="0C336F14"/>
    <w:rsid w:val="0C8C1552"/>
    <w:rsid w:val="0CC0796F"/>
    <w:rsid w:val="0CC82D34"/>
    <w:rsid w:val="0CC82D34"/>
    <w:rsid w:val="0D085EC6"/>
    <w:rsid w:val="0E59111A"/>
    <w:rsid w:val="0FF4E17B"/>
    <w:rsid w:val="0FF4E17B"/>
    <w:rsid w:val="136207CE"/>
    <w:rsid w:val="142B31AB"/>
    <w:rsid w:val="142B31AB"/>
    <w:rsid w:val="14C1C6D9"/>
    <w:rsid w:val="14C1C6D9"/>
    <w:rsid w:val="1607339E"/>
    <w:rsid w:val="169618AF"/>
    <w:rsid w:val="17861264"/>
    <w:rsid w:val="1A11C5F3"/>
    <w:rsid w:val="1B766F86"/>
    <w:rsid w:val="1BA18570"/>
    <w:rsid w:val="1D123FE7"/>
    <w:rsid w:val="1EA12A94"/>
    <w:rsid w:val="1F4D0830"/>
    <w:rsid w:val="203CFAF5"/>
    <w:rsid w:val="225044D5"/>
    <w:rsid w:val="225044D5"/>
    <w:rsid w:val="22AD729A"/>
    <w:rsid w:val="22AD729A"/>
    <w:rsid w:val="27AEACC1"/>
    <w:rsid w:val="298526A6"/>
    <w:rsid w:val="2B9E80DD"/>
    <w:rsid w:val="2C6A8719"/>
    <w:rsid w:val="2CBAC86F"/>
    <w:rsid w:val="2CBAC86F"/>
    <w:rsid w:val="2E6F313C"/>
    <w:rsid w:val="3146E1B2"/>
    <w:rsid w:val="32C39664"/>
    <w:rsid w:val="32D66F6A"/>
    <w:rsid w:val="32D66F6A"/>
    <w:rsid w:val="32E2B213"/>
    <w:rsid w:val="34F5FBF3"/>
    <w:rsid w:val="388CA074"/>
    <w:rsid w:val="3C9A6A89"/>
    <w:rsid w:val="3D398F4D"/>
    <w:rsid w:val="3D398F4D"/>
    <w:rsid w:val="3EF432EF"/>
    <w:rsid w:val="3F7778CF"/>
    <w:rsid w:val="3FC922A1"/>
    <w:rsid w:val="40BCA36C"/>
    <w:rsid w:val="440B6C11"/>
    <w:rsid w:val="45CD91F6"/>
    <w:rsid w:val="486E9D8A"/>
    <w:rsid w:val="4A121E08"/>
    <w:rsid w:val="4A121E08"/>
    <w:rsid w:val="4A4A5D55"/>
    <w:rsid w:val="4E43760A"/>
    <w:rsid w:val="4EA1C72C"/>
    <w:rsid w:val="5110449D"/>
    <w:rsid w:val="52157FD0"/>
    <w:rsid w:val="5390740F"/>
    <w:rsid w:val="552C4470"/>
    <w:rsid w:val="552C4470"/>
    <w:rsid w:val="554D2092"/>
    <w:rsid w:val="57292285"/>
    <w:rsid w:val="57292285"/>
    <w:rsid w:val="59FFB593"/>
    <w:rsid w:val="5B4C98B4"/>
    <w:rsid w:val="5B9B85F4"/>
    <w:rsid w:val="5B9B85F4"/>
    <w:rsid w:val="5BE36B4B"/>
    <w:rsid w:val="5BE36B4B"/>
    <w:rsid w:val="5D375655"/>
    <w:rsid w:val="5F991151"/>
    <w:rsid w:val="6097C0BF"/>
    <w:rsid w:val="621A68C3"/>
    <w:rsid w:val="63C98872"/>
    <w:rsid w:val="63CF6181"/>
    <w:rsid w:val="643F2AE3"/>
    <w:rsid w:val="656B31E2"/>
    <w:rsid w:val="667DCE5C"/>
    <w:rsid w:val="6746F1AD"/>
    <w:rsid w:val="68199EBD"/>
    <w:rsid w:val="6954A392"/>
    <w:rsid w:val="698DDEC3"/>
    <w:rsid w:val="698DDEC3"/>
    <w:rsid w:val="6A257AA8"/>
    <w:rsid w:val="6B551188"/>
    <w:rsid w:val="6BB99744"/>
    <w:rsid w:val="6F1C2BC2"/>
    <w:rsid w:val="6F95CB91"/>
    <w:rsid w:val="72383CAA"/>
    <w:rsid w:val="7404A0FA"/>
    <w:rsid w:val="753FBBCD"/>
    <w:rsid w:val="75A85EE1"/>
    <w:rsid w:val="78A7BB97"/>
    <w:rsid w:val="7A2A2632"/>
    <w:rsid w:val="7B52A15C"/>
    <w:rsid w:val="7B52A15C"/>
    <w:rsid w:val="7BDFD2B2"/>
    <w:rsid w:val="7CE163FF"/>
    <w:rsid w:val="7E11C1E8"/>
    <w:rsid w:val="7E4DD9CA"/>
    <w:rsid w:val="7E9F4633"/>
    <w:rsid w:val="7EA6F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ACC1"/>
  <w15:chartTrackingRefBased/>
  <w15:docId w15:val="{896B203C-26A8-4DF6-8DE2-8A1304C69E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thomas.jacky@conehealth.com" TargetMode="External" Id="R2aea5c22f51d4ac8" /><Relationship Type="http://schemas.microsoft.com/office/2020/10/relationships/intelligence" Target="intelligence2.xml" Id="Rd1729b5eb02840e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2022-03-18T16:25:51.1066422Z</dcterms:created>
  <dcterms:modified xsi:type="dcterms:W3CDTF">2022-04-21T13:27:59.7044712Z</dcterms:modified>
  <dc:creator>Jacky, Thomas</dc:creator>
  <lastModifiedBy>Jacky, Thomas</lastModifiedBy>
</coreProperties>
</file>