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1DC" w14:textId="0D250357" w:rsidR="00E0432E" w:rsidRPr="009117E0" w:rsidRDefault="00E0432E" w:rsidP="00295E4A">
      <w:pPr>
        <w:rPr>
          <w:rFonts w:ascii="Calibri" w:hAnsi="Calibri"/>
          <w:b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Use of subcutaneous vitamin K for elevated INR in community-based hospitals: a case series</w:t>
      </w:r>
    </w:p>
    <w:p w14:paraId="5FFDE397" w14:textId="2A110088" w:rsidR="00E0432E" w:rsidRPr="009117E0" w:rsidRDefault="00E0432E" w:rsidP="00E0432E">
      <w:pPr>
        <w:jc w:val="center"/>
        <w:rPr>
          <w:rFonts w:ascii="Calibri" w:hAnsi="Calibri"/>
          <w:b/>
          <w:sz w:val="24"/>
          <w:szCs w:val="24"/>
        </w:rPr>
      </w:pPr>
    </w:p>
    <w:p w14:paraId="694E31BA" w14:textId="175798BE" w:rsidR="00E0432E" w:rsidRPr="009117E0" w:rsidRDefault="00E0432E" w:rsidP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Authors:</w:t>
      </w:r>
      <w:r w:rsidRPr="009117E0">
        <w:rPr>
          <w:rFonts w:ascii="Calibri" w:hAnsi="Calibri"/>
          <w:bCs/>
          <w:sz w:val="24"/>
          <w:szCs w:val="24"/>
        </w:rPr>
        <w:t xml:space="preserve"> Gretchen Ingling, Pharm D; Laura Coles, PharmD, </w:t>
      </w:r>
      <w:r w:rsidRPr="009117E0">
        <w:rPr>
          <w:rFonts w:ascii="Calibri" w:hAnsi="Calibri"/>
          <w:bCs/>
          <w:sz w:val="24"/>
          <w:szCs w:val="24"/>
        </w:rPr>
        <w:t>BCCCP</w:t>
      </w:r>
    </w:p>
    <w:p w14:paraId="10FE919C" w14:textId="1124C127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4A12A07A" w14:textId="42288E82" w:rsidR="00E0432E" w:rsidRPr="009117E0" w:rsidRDefault="00E0432E" w:rsidP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Practice Site:</w:t>
      </w:r>
      <w:r w:rsidRPr="009117E0">
        <w:rPr>
          <w:rFonts w:ascii="Calibri" w:hAnsi="Calibri"/>
          <w:bCs/>
          <w:sz w:val="24"/>
          <w:szCs w:val="24"/>
        </w:rPr>
        <w:t xml:space="preserve"> Novant Health Forsyth Medical Center, Winston-Salem, NC</w:t>
      </w:r>
    </w:p>
    <w:p w14:paraId="4802BF6D" w14:textId="2C7690F1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5BA326F2" w14:textId="66074745" w:rsidR="00E0432E" w:rsidRPr="009117E0" w:rsidRDefault="00E0432E" w:rsidP="00E0432E">
      <w:pPr>
        <w:rPr>
          <w:rFonts w:asciiTheme="minorHAnsi" w:hAnsiTheme="minorHAnsi" w:cstheme="minorHAnsi"/>
        </w:rPr>
      </w:pPr>
      <w:r w:rsidRPr="009117E0">
        <w:rPr>
          <w:rFonts w:ascii="Calibri" w:hAnsi="Calibri"/>
          <w:b/>
          <w:sz w:val="24"/>
          <w:szCs w:val="24"/>
        </w:rPr>
        <w:t>Background:</w:t>
      </w:r>
      <w:r w:rsidRPr="009117E0">
        <w:rPr>
          <w:rFonts w:ascii="Calibri" w:hAnsi="Calibri"/>
          <w:bCs/>
          <w:sz w:val="24"/>
          <w:szCs w:val="24"/>
        </w:rPr>
        <w:t xml:space="preserve"> </w:t>
      </w:r>
      <w:r w:rsidR="009117E0" w:rsidRPr="009117E0">
        <w:rPr>
          <w:rFonts w:asciiTheme="minorHAnsi" w:hAnsiTheme="minorHAnsi" w:cstheme="minorHAnsi"/>
          <w:sz w:val="24"/>
          <w:szCs w:val="24"/>
        </w:rPr>
        <w:t>Vitamin K antagonists (VKA) such as warfarin (Coumadin) are used frequently in the management of atrial fibrillation, mechanical heart valves, and venous thromboembolism</w:t>
      </w:r>
      <w:r w:rsidR="009117E0">
        <w:rPr>
          <w:rFonts w:asciiTheme="minorHAnsi" w:hAnsiTheme="minorHAnsi" w:cstheme="minorHAnsi"/>
          <w:sz w:val="24"/>
          <w:szCs w:val="24"/>
        </w:rPr>
        <w:t>s</w:t>
      </w:r>
      <w:r w:rsidR="009117E0" w:rsidRPr="009117E0">
        <w:rPr>
          <w:rFonts w:asciiTheme="minorHAnsi" w:hAnsiTheme="minorHAnsi" w:cstheme="minorHAnsi"/>
          <w:sz w:val="24"/>
          <w:szCs w:val="24"/>
        </w:rPr>
        <w:t>.</w:t>
      </w:r>
      <w:r w:rsidR="009117E0" w:rsidRPr="009117E0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9117E0" w:rsidRPr="009117E0">
        <w:rPr>
          <w:rFonts w:asciiTheme="minorHAnsi" w:hAnsiTheme="minorHAnsi" w:cstheme="minorHAnsi"/>
          <w:sz w:val="24"/>
          <w:szCs w:val="24"/>
        </w:rPr>
        <w:t xml:space="preserve"> Monitoring of these agents consists of frequent assessment of the international normalized ratio (INR) to ensure the patient is within the desired therapeutic range. The ranges are dependent on a variety of factors, including the indication and patient-specific risk factors. VKAs can be difficult to manage as there are a multitude of interactions that have the potential to influence the INR and cause the level to be supra-therapeutic, increasing the risk for bleeding. In certain instances, vitamin K is required to reverse the effects of the VKAs in order to return the INR to therapeutic range. Phytonadione, the commercially available vitamin K product, is available in oral, intravenous (IV) or subcutaneous (SQ) routes. In 2008, the CHEST guidelines were amended to exclude the use of subcutaneous vitamin K for VKA reversal due to the variability in its effects</w:t>
      </w:r>
      <w:r w:rsidR="009117E0">
        <w:rPr>
          <w:rFonts w:asciiTheme="minorHAnsi" w:hAnsiTheme="minorHAnsi" w:cstheme="minorHAnsi"/>
          <w:sz w:val="24"/>
          <w:szCs w:val="24"/>
        </w:rPr>
        <w:t xml:space="preserve">. Additionally, </w:t>
      </w:r>
      <w:r w:rsidR="009117E0" w:rsidRPr="009117E0">
        <w:rPr>
          <w:rFonts w:asciiTheme="minorHAnsi" w:hAnsiTheme="minorHAnsi" w:cstheme="minorHAnsi"/>
          <w:sz w:val="24"/>
          <w:szCs w:val="24"/>
        </w:rPr>
        <w:t xml:space="preserve">the </w:t>
      </w:r>
      <w:r w:rsidR="009117E0" w:rsidRPr="009117E0">
        <w:rPr>
          <w:rFonts w:asciiTheme="minorHAnsi" w:hAnsiTheme="minorHAnsi" w:cstheme="minorHAnsi"/>
          <w:sz w:val="24"/>
          <w:szCs w:val="24"/>
        </w:rPr>
        <w:t>2020 American Association for the Study of Liver Diseases (AASLD) guidelines recommend against measures to reduce INR prior to procedures in patients with cirrhosis who are not taking VKAs</w:t>
      </w:r>
      <w:r w:rsidR="009117E0">
        <w:rPr>
          <w:rFonts w:asciiTheme="minorHAnsi" w:hAnsiTheme="minorHAnsi" w:cstheme="minorHAnsi"/>
        </w:rPr>
        <w:t xml:space="preserve">. </w:t>
      </w:r>
      <w:r w:rsidR="009117E0" w:rsidRPr="009117E0">
        <w:rPr>
          <w:rFonts w:asciiTheme="minorHAnsi" w:hAnsiTheme="minorHAnsi" w:cstheme="minorHAnsi"/>
          <w:sz w:val="24"/>
          <w:szCs w:val="24"/>
        </w:rPr>
        <w:t>The administration of SQ vitamin K could impact patient outcomes in that it could delay the time it takes the INR to</w:t>
      </w:r>
      <w:r w:rsidR="00295E4A">
        <w:rPr>
          <w:rFonts w:asciiTheme="minorHAnsi" w:hAnsiTheme="minorHAnsi" w:cstheme="minorHAnsi"/>
          <w:sz w:val="24"/>
          <w:szCs w:val="24"/>
        </w:rPr>
        <w:t xml:space="preserve"> return to</w:t>
      </w:r>
      <w:r w:rsidR="009117E0" w:rsidRPr="009117E0">
        <w:rPr>
          <w:rFonts w:asciiTheme="minorHAnsi" w:hAnsiTheme="minorHAnsi" w:cstheme="minorHAnsi"/>
          <w:sz w:val="24"/>
          <w:szCs w:val="24"/>
        </w:rPr>
        <w:t xml:space="preserve"> therapeutic range, thus delaying subsequent treatment and patient disposition. The purpose of this study is to evaluate outcomes of patients at Novant Health facilities who were treated with subcutaneous vitamin K for the reversal of</w:t>
      </w:r>
      <w:r w:rsidR="009117E0">
        <w:rPr>
          <w:rFonts w:asciiTheme="minorHAnsi" w:hAnsiTheme="minorHAnsi" w:cstheme="minorHAnsi"/>
          <w:sz w:val="24"/>
          <w:szCs w:val="24"/>
        </w:rPr>
        <w:t xml:space="preserve"> elevated</w:t>
      </w:r>
      <w:r w:rsidR="009117E0" w:rsidRPr="009117E0">
        <w:rPr>
          <w:rFonts w:asciiTheme="minorHAnsi" w:hAnsiTheme="minorHAnsi" w:cstheme="minorHAnsi"/>
          <w:sz w:val="24"/>
          <w:szCs w:val="24"/>
        </w:rPr>
        <w:t xml:space="preserve"> </w:t>
      </w:r>
      <w:r w:rsidR="009117E0">
        <w:rPr>
          <w:rFonts w:asciiTheme="minorHAnsi" w:hAnsiTheme="minorHAnsi" w:cstheme="minorHAnsi"/>
          <w:sz w:val="24"/>
          <w:szCs w:val="24"/>
        </w:rPr>
        <w:t>INR</w:t>
      </w:r>
      <w:r w:rsidR="009117E0" w:rsidRPr="009117E0">
        <w:rPr>
          <w:rFonts w:asciiTheme="minorHAnsi" w:hAnsiTheme="minorHAnsi" w:cstheme="minorHAnsi"/>
          <w:sz w:val="24"/>
          <w:szCs w:val="24"/>
        </w:rPr>
        <w:t>.</w:t>
      </w:r>
    </w:p>
    <w:p w14:paraId="3783A0E6" w14:textId="4FC05F8F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221EE025" w14:textId="3C8DB837" w:rsidR="00E0432E" w:rsidRPr="009117E0" w:rsidRDefault="00E0432E" w:rsidP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Objective:</w:t>
      </w:r>
      <w:r w:rsidRPr="009117E0">
        <w:rPr>
          <w:rFonts w:ascii="Calibri" w:hAnsi="Calibri"/>
          <w:bCs/>
          <w:sz w:val="24"/>
          <w:szCs w:val="24"/>
        </w:rPr>
        <w:t xml:space="preserve"> The primary objective of this study was to assess </w:t>
      </w:r>
      <w:r w:rsidRPr="00E0432E">
        <w:rPr>
          <w:rFonts w:ascii="Calibri" w:hAnsi="Calibri"/>
          <w:bCs/>
          <w:sz w:val="24"/>
          <w:szCs w:val="24"/>
        </w:rPr>
        <w:t>the utilization and efficacy of vitamin K administered subcutaneously across the Novant Health system</w:t>
      </w:r>
      <w:r w:rsidRPr="009117E0">
        <w:rPr>
          <w:rFonts w:ascii="Calibri" w:hAnsi="Calibri"/>
          <w:bCs/>
          <w:sz w:val="24"/>
          <w:szCs w:val="24"/>
        </w:rPr>
        <w:t>. Secondary objectives include delays in patient care, additional vitamin K administration following an initial dose, adverse effects, and pharmacist intervention.</w:t>
      </w:r>
    </w:p>
    <w:p w14:paraId="5ECFD2C7" w14:textId="65D5F262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5BC08E7D" w14:textId="48267DEA" w:rsidR="00E0432E" w:rsidRPr="009117E0" w:rsidRDefault="00E0432E" w:rsidP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Methods:</w:t>
      </w:r>
      <w:r w:rsidRPr="009117E0">
        <w:rPr>
          <w:rFonts w:ascii="Calibri" w:hAnsi="Calibri"/>
          <w:bCs/>
          <w:sz w:val="24"/>
          <w:szCs w:val="24"/>
        </w:rPr>
        <w:t xml:space="preserve"> This was a</w:t>
      </w:r>
      <w:r w:rsidR="00B41525">
        <w:rPr>
          <w:rFonts w:ascii="Calibri" w:hAnsi="Calibri"/>
          <w:bCs/>
          <w:sz w:val="24"/>
          <w:szCs w:val="24"/>
        </w:rPr>
        <w:t xml:space="preserve"> multi-center,</w:t>
      </w:r>
      <w:r w:rsidRPr="009117E0">
        <w:rPr>
          <w:rFonts w:ascii="Calibri" w:hAnsi="Calibri"/>
          <w:bCs/>
          <w:sz w:val="24"/>
          <w:szCs w:val="24"/>
        </w:rPr>
        <w:t xml:space="preserve"> retrospective case series conducted </w:t>
      </w:r>
      <w:r w:rsidR="009117E0" w:rsidRPr="009117E0">
        <w:rPr>
          <w:rFonts w:ascii="Calibri" w:hAnsi="Calibri"/>
          <w:bCs/>
          <w:sz w:val="24"/>
          <w:szCs w:val="24"/>
        </w:rPr>
        <w:t>throughout a community-based health system.</w:t>
      </w:r>
      <w:r w:rsidR="00B41525">
        <w:rPr>
          <w:rFonts w:ascii="Cambria" w:hAnsi="Cambria"/>
          <w:b/>
          <w:bCs/>
          <w:sz w:val="24"/>
          <w:szCs w:val="24"/>
        </w:rPr>
        <w:t xml:space="preserve"> </w:t>
      </w:r>
      <w:r w:rsidR="003E0132">
        <w:rPr>
          <w:rFonts w:asciiTheme="minorHAnsi" w:hAnsiTheme="minorHAnsi" w:cstheme="minorHAnsi"/>
          <w:sz w:val="24"/>
          <w:szCs w:val="24"/>
        </w:rPr>
        <w:t>P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atients 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>with orders for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injectable vitamin K for 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INR reversal were analyzed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July 1, 2020 to July 1, 2021. Patients were included if they were 18 years </w:t>
      </w:r>
      <w:r w:rsidR="00295E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old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older, had an INR level </w:t>
      </w:r>
      <w:r w:rsidR="00B41525" w:rsidRPr="00B41525">
        <w:rPr>
          <w:rFonts w:asciiTheme="minorHAnsi" w:hAnsiTheme="minorHAnsi" w:cstheme="minorHAnsi"/>
          <w:sz w:val="24"/>
          <w:szCs w:val="24"/>
        </w:rPr>
        <w:t xml:space="preserve">≥ </w:t>
      </w:r>
      <w:r w:rsidR="003E0132">
        <w:rPr>
          <w:rFonts w:asciiTheme="minorHAnsi" w:hAnsiTheme="minorHAnsi" w:cstheme="minorHAnsi"/>
          <w:sz w:val="24"/>
          <w:szCs w:val="24"/>
        </w:rPr>
        <w:t>1</w:t>
      </w:r>
      <w:r w:rsidR="00B41525" w:rsidRPr="00B41525">
        <w:rPr>
          <w:rFonts w:asciiTheme="minorHAnsi" w:hAnsiTheme="minorHAnsi" w:cstheme="minorHAnsi"/>
          <w:sz w:val="24"/>
          <w:szCs w:val="24"/>
        </w:rPr>
        <w:t>.0</w:t>
      </w:r>
      <w:r w:rsidR="003E0132">
        <w:rPr>
          <w:rFonts w:asciiTheme="minorHAnsi" w:hAnsiTheme="minorHAnsi" w:cstheme="minorHAnsi"/>
          <w:sz w:val="24"/>
          <w:szCs w:val="24"/>
        </w:rPr>
        <w:t xml:space="preserve">, and had at least one order for subcutaneous vitamin K.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>Patients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who were pregnant, 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>received vitamin K in an outpatient setting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41525" w:rsidRPr="00B41525">
        <w:rPr>
          <w:rFonts w:asciiTheme="minorHAnsi" w:hAnsiTheme="minorHAnsi" w:cstheme="minorHAnsi"/>
          <w:color w:val="000000" w:themeColor="text1"/>
          <w:sz w:val="24"/>
          <w:szCs w:val="24"/>
        </w:rPr>
        <w:t>were excluded</w:t>
      </w:r>
      <w:r w:rsidR="003E013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633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case series was developed to present the findings.</w:t>
      </w:r>
    </w:p>
    <w:p w14:paraId="45A76A67" w14:textId="42A9C137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056645FB" w14:textId="3C447266" w:rsidR="00E0432E" w:rsidRPr="003E0132" w:rsidRDefault="00E0432E" w:rsidP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Preliminary Results:</w:t>
      </w:r>
      <w:r w:rsidR="003E0132">
        <w:rPr>
          <w:rFonts w:ascii="Calibri" w:hAnsi="Calibri"/>
          <w:bCs/>
          <w:sz w:val="24"/>
          <w:szCs w:val="24"/>
        </w:rPr>
        <w:t xml:space="preserve"> Of the 111 patient charts reviewed, 28 patients had an order for subcutaneous vitamin K. 14 of those patients received a dose, whereas 14 patients had </w:t>
      </w:r>
      <w:r w:rsidR="00FA3F6A">
        <w:rPr>
          <w:rFonts w:ascii="Calibri" w:hAnsi="Calibri"/>
          <w:bCs/>
          <w:sz w:val="24"/>
          <w:szCs w:val="24"/>
        </w:rPr>
        <w:t>a dose ordered b</w:t>
      </w:r>
      <w:r w:rsidR="009633DA">
        <w:rPr>
          <w:rFonts w:ascii="Calibri" w:hAnsi="Calibri"/>
          <w:bCs/>
          <w:sz w:val="24"/>
          <w:szCs w:val="24"/>
        </w:rPr>
        <w:t xml:space="preserve">ut the vitamin K was ultimately given via an alternative route. </w:t>
      </w:r>
      <w:r w:rsidR="00DC7E35">
        <w:rPr>
          <w:rFonts w:ascii="Calibri" w:hAnsi="Calibri"/>
          <w:bCs/>
          <w:sz w:val="24"/>
          <w:szCs w:val="24"/>
        </w:rPr>
        <w:t xml:space="preserve">6 patients were documented to have been taking a VKA prior to admission (4 in the group that received SQ vitamin K, 2 in the group who did not). </w:t>
      </w:r>
      <w:r w:rsidR="00A97797">
        <w:rPr>
          <w:rFonts w:ascii="Calibri" w:hAnsi="Calibri"/>
          <w:bCs/>
          <w:sz w:val="24"/>
          <w:szCs w:val="24"/>
        </w:rPr>
        <w:t xml:space="preserve">5 of the 14 patients who received a dose of SQ vitamin K had evidence of bleeding and 5 had some level of hepatic impairment. 43% (6) of the patients required additional agents to achieve the </w:t>
      </w:r>
      <w:r w:rsidR="00295E4A">
        <w:rPr>
          <w:rFonts w:ascii="Calibri" w:hAnsi="Calibri"/>
          <w:bCs/>
          <w:sz w:val="24"/>
          <w:szCs w:val="24"/>
        </w:rPr>
        <w:t xml:space="preserve">provider-specified desired </w:t>
      </w:r>
      <w:r w:rsidR="00A97797">
        <w:rPr>
          <w:rFonts w:ascii="Calibri" w:hAnsi="Calibri"/>
          <w:bCs/>
          <w:sz w:val="24"/>
          <w:szCs w:val="24"/>
        </w:rPr>
        <w:t>outcome. There were no</w:t>
      </w:r>
      <w:r w:rsidR="00295E4A">
        <w:rPr>
          <w:rFonts w:ascii="Calibri" w:hAnsi="Calibri"/>
          <w:bCs/>
          <w:sz w:val="24"/>
          <w:szCs w:val="24"/>
        </w:rPr>
        <w:t xml:space="preserve"> </w:t>
      </w:r>
      <w:r w:rsidR="00A97797">
        <w:rPr>
          <w:rFonts w:ascii="Calibri" w:hAnsi="Calibri"/>
          <w:bCs/>
          <w:sz w:val="24"/>
          <w:szCs w:val="24"/>
        </w:rPr>
        <w:lastRenderedPageBreak/>
        <w:t>documented adverse reactions in either group. T</w:t>
      </w:r>
      <w:r w:rsidR="00295E4A">
        <w:rPr>
          <w:rFonts w:ascii="Calibri" w:hAnsi="Calibri"/>
          <w:bCs/>
          <w:sz w:val="24"/>
          <w:szCs w:val="24"/>
        </w:rPr>
        <w:t xml:space="preserve">he rate of documented pharmacist interventions was higher </w:t>
      </w:r>
      <w:r w:rsidR="00A97797">
        <w:rPr>
          <w:rFonts w:ascii="Calibri" w:hAnsi="Calibri"/>
          <w:bCs/>
          <w:sz w:val="24"/>
          <w:szCs w:val="24"/>
        </w:rPr>
        <w:t>in the group that had orders for SQ placed but were changed to an alternative agent</w:t>
      </w:r>
      <w:r w:rsidR="005E4BAE">
        <w:rPr>
          <w:rFonts w:ascii="Calibri" w:hAnsi="Calibri"/>
          <w:bCs/>
          <w:sz w:val="24"/>
          <w:szCs w:val="24"/>
        </w:rPr>
        <w:t xml:space="preserve"> vs. the group that received a SQ dose</w:t>
      </w:r>
      <w:r w:rsidR="00A97797">
        <w:rPr>
          <w:rFonts w:ascii="Calibri" w:hAnsi="Calibri"/>
          <w:bCs/>
          <w:sz w:val="24"/>
          <w:szCs w:val="24"/>
        </w:rPr>
        <w:t xml:space="preserve"> (86% vs. 14%). Th</w:t>
      </w:r>
      <w:r w:rsidR="00295E4A">
        <w:rPr>
          <w:rFonts w:ascii="Calibri" w:hAnsi="Calibri"/>
          <w:bCs/>
          <w:sz w:val="24"/>
          <w:szCs w:val="24"/>
        </w:rPr>
        <w:t>e</w:t>
      </w:r>
      <w:r w:rsidR="005E4BAE">
        <w:rPr>
          <w:rFonts w:ascii="Calibri" w:hAnsi="Calibri"/>
          <w:bCs/>
          <w:sz w:val="24"/>
          <w:szCs w:val="24"/>
        </w:rPr>
        <w:t xml:space="preserve"> patients presented in this</w:t>
      </w:r>
      <w:r w:rsidR="00A97797">
        <w:rPr>
          <w:rFonts w:ascii="Calibri" w:hAnsi="Calibri"/>
          <w:bCs/>
          <w:sz w:val="24"/>
          <w:szCs w:val="24"/>
        </w:rPr>
        <w:t xml:space="preserve"> case series </w:t>
      </w:r>
      <w:r w:rsidR="00295E4A">
        <w:rPr>
          <w:rFonts w:ascii="Calibri" w:hAnsi="Calibri"/>
          <w:bCs/>
          <w:sz w:val="24"/>
          <w:szCs w:val="24"/>
        </w:rPr>
        <w:t>all</w:t>
      </w:r>
      <w:r w:rsidR="00A97797">
        <w:rPr>
          <w:rFonts w:ascii="Calibri" w:hAnsi="Calibri"/>
          <w:bCs/>
          <w:sz w:val="24"/>
          <w:szCs w:val="24"/>
        </w:rPr>
        <w:t xml:space="preserve"> received a dose of SQ vitamin K for the reversal of INR. </w:t>
      </w:r>
    </w:p>
    <w:p w14:paraId="5FD9CC5B" w14:textId="41819B98" w:rsidR="00E0432E" w:rsidRPr="009117E0" w:rsidRDefault="00E0432E" w:rsidP="00E0432E">
      <w:pPr>
        <w:rPr>
          <w:rFonts w:ascii="Calibri" w:hAnsi="Calibri"/>
          <w:b/>
          <w:sz w:val="24"/>
          <w:szCs w:val="24"/>
        </w:rPr>
      </w:pPr>
    </w:p>
    <w:p w14:paraId="15DA3481" w14:textId="6C8C1AFA" w:rsidR="00ED4BBA" w:rsidRPr="00F23D14" w:rsidRDefault="00E0432E">
      <w:pPr>
        <w:rPr>
          <w:rFonts w:ascii="Calibri" w:hAnsi="Calibri"/>
          <w:bCs/>
          <w:sz w:val="24"/>
          <w:szCs w:val="24"/>
        </w:rPr>
      </w:pPr>
      <w:r w:rsidRPr="009117E0">
        <w:rPr>
          <w:rFonts w:ascii="Calibri" w:hAnsi="Calibri"/>
          <w:b/>
          <w:sz w:val="24"/>
          <w:szCs w:val="24"/>
        </w:rPr>
        <w:t>Conclusion:</w:t>
      </w:r>
      <w:r w:rsidR="0054601E">
        <w:rPr>
          <w:rFonts w:ascii="Calibri" w:hAnsi="Calibri"/>
          <w:bCs/>
          <w:sz w:val="24"/>
          <w:szCs w:val="24"/>
        </w:rPr>
        <w:t xml:space="preserve"> The efficacy of vitamin K administered subcutaneously for the management of elevated INR is </w:t>
      </w:r>
      <w:r w:rsidR="006E2A25">
        <w:rPr>
          <w:rFonts w:ascii="Calibri" w:hAnsi="Calibri"/>
          <w:bCs/>
          <w:sz w:val="24"/>
          <w:szCs w:val="24"/>
        </w:rPr>
        <w:t>variable, as stated in previous literature and recommendations. This retrospective chart review demonstrated variable effects from subcutaneous vitamin K and that subcutaneous vitamin K continues to be used incorrectly in a community-based health system.</w:t>
      </w:r>
    </w:p>
    <w:sectPr w:rsidR="00ED4BBA" w:rsidRPr="00F2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4AE"/>
    <w:multiLevelType w:val="hybridMultilevel"/>
    <w:tmpl w:val="77A68A1A"/>
    <w:lvl w:ilvl="0" w:tplc="8E06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CB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E0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A3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64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0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6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4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A923EB"/>
    <w:multiLevelType w:val="hybridMultilevel"/>
    <w:tmpl w:val="63EEFFDA"/>
    <w:lvl w:ilvl="0" w:tplc="08B6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8C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8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6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0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A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6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C"/>
    <w:rsid w:val="00295E4A"/>
    <w:rsid w:val="003E0132"/>
    <w:rsid w:val="0054601E"/>
    <w:rsid w:val="005E4BAE"/>
    <w:rsid w:val="006E2A25"/>
    <w:rsid w:val="007B3916"/>
    <w:rsid w:val="009117E0"/>
    <w:rsid w:val="00926F9C"/>
    <w:rsid w:val="009633DA"/>
    <w:rsid w:val="00A97797"/>
    <w:rsid w:val="00B41525"/>
    <w:rsid w:val="00DC7E35"/>
    <w:rsid w:val="00E0432E"/>
    <w:rsid w:val="00E35111"/>
    <w:rsid w:val="00ED4BBA"/>
    <w:rsid w:val="00F1159C"/>
    <w:rsid w:val="00F23D14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7514"/>
  <w15:chartTrackingRefBased/>
  <w15:docId w15:val="{5D5A80B3-D37E-420E-BE4E-0AA06AE0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2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2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Ingling, Gretchen</dc:creator>
  <cp:keywords/>
  <dc:description/>
  <cp:lastModifiedBy>Ingling, Gretchen</cp:lastModifiedBy>
  <cp:revision>12</cp:revision>
  <dcterms:created xsi:type="dcterms:W3CDTF">2022-05-02T01:55:00Z</dcterms:created>
  <dcterms:modified xsi:type="dcterms:W3CDTF">2022-05-03T20:24:00Z</dcterms:modified>
</cp:coreProperties>
</file>