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5D45" w14:textId="77777777" w:rsidR="00F6399E" w:rsidRDefault="00F6399E" w:rsidP="00F6399E">
      <w:pPr>
        <w:pStyle w:val="NoSpacing"/>
        <w:rPr>
          <w:b/>
          <w:u w:val="single"/>
        </w:rPr>
      </w:pPr>
      <w:r>
        <w:rPr>
          <w:b/>
          <w:u w:val="single"/>
        </w:rPr>
        <w:t>Abstract</w:t>
      </w:r>
    </w:p>
    <w:p w14:paraId="4E76DF4E" w14:textId="77777777" w:rsidR="00F6399E" w:rsidRPr="00E65923" w:rsidRDefault="00F6399E" w:rsidP="00F6399E">
      <w:pPr>
        <w:pStyle w:val="NoSpacing"/>
        <w:rPr>
          <w:b/>
          <w:u w:val="single"/>
        </w:rPr>
      </w:pPr>
    </w:p>
    <w:p w14:paraId="416198DD" w14:textId="00C6D0BF" w:rsidR="00F6399E" w:rsidRDefault="00B52F82" w:rsidP="00F6399E">
      <w:pPr>
        <w:pStyle w:val="NoSpacing"/>
        <w:rPr>
          <w:b/>
        </w:rPr>
      </w:pPr>
      <w:r>
        <w:rPr>
          <w:b/>
        </w:rPr>
        <w:t>Background</w:t>
      </w:r>
    </w:p>
    <w:p w14:paraId="583234D8" w14:textId="0E273C82" w:rsidR="00F6399E" w:rsidRDefault="00F6399E" w:rsidP="00F6399E">
      <w:pPr>
        <w:pStyle w:val="NoSpacing"/>
      </w:pPr>
      <w:r>
        <w:rPr>
          <w:iCs/>
        </w:rPr>
        <w:t xml:space="preserve">Sodium-glucose cotransporter-2 inhibitors (SGLT2-Is) are medications commonly prescribed to treat type 2 diabetes mellitus (T2DM) given their proven cardiovascular and renal benefits. </w:t>
      </w:r>
      <w:r>
        <w:t xml:space="preserve">Clinical trials for empagliflozin have demonstrated reduced risk for decline in estimated glomerular filtration rate (eGFR), progression to macroalbuminuria, and incident albuminuria in </w:t>
      </w:r>
      <w:r w:rsidR="007A0391">
        <w:t>veterans</w:t>
      </w:r>
      <w:r>
        <w:t xml:space="preserve"> with cardiovascular disease. These trials did not</w:t>
      </w:r>
      <w:r w:rsidRPr="00AC37A9">
        <w:rPr>
          <w:rFonts w:ascii="Calibri" w:hAnsi="Calibri"/>
          <w:sz w:val="22"/>
        </w:rPr>
        <w:t xml:space="preserve"> </w:t>
      </w:r>
      <w:r w:rsidRPr="00FB798A">
        <w:t xml:space="preserve">report specific changes in urine </w:t>
      </w:r>
      <w:r>
        <w:t>albumin-to-creatinine (</w:t>
      </w:r>
      <w:r w:rsidRPr="00FB798A">
        <w:t>ACR</w:t>
      </w:r>
      <w:r>
        <w:t>)</w:t>
      </w:r>
      <w:r w:rsidRPr="00FB798A">
        <w:t xml:space="preserve"> stratified by baseline levels or elucidate if there was an improvement in ACR after empagliflozin initiation. </w:t>
      </w:r>
      <w:r>
        <w:t>Thus, t</w:t>
      </w:r>
      <w:r w:rsidRPr="00FB798A">
        <w:t xml:space="preserve">he purpose of this study </w:t>
      </w:r>
      <w:r>
        <w:t>was</w:t>
      </w:r>
      <w:r w:rsidRPr="00FB798A">
        <w:t xml:space="preserve"> to evaluate the impact of empagliflozin on ACR and eGFR in a veteran population with varying degrees of albuminuria at the time of initiation. </w:t>
      </w:r>
    </w:p>
    <w:p w14:paraId="19222527" w14:textId="77777777" w:rsidR="00F6399E" w:rsidRDefault="00F6399E" w:rsidP="00F6399E">
      <w:pPr>
        <w:pStyle w:val="NoSpacing"/>
      </w:pPr>
    </w:p>
    <w:p w14:paraId="4DF8051C" w14:textId="7E9A96BE" w:rsidR="00F6399E" w:rsidRDefault="00F6399E" w:rsidP="00F6399E">
      <w:pPr>
        <w:pStyle w:val="NoSpacing"/>
        <w:rPr>
          <w:b/>
          <w:bCs/>
        </w:rPr>
      </w:pPr>
      <w:r>
        <w:rPr>
          <w:b/>
          <w:bCs/>
        </w:rPr>
        <w:t>Method</w:t>
      </w:r>
      <w:r w:rsidR="00B52F82">
        <w:rPr>
          <w:b/>
          <w:bCs/>
        </w:rPr>
        <w:t>s</w:t>
      </w:r>
    </w:p>
    <w:p w14:paraId="3EE8E900" w14:textId="3C575DD7" w:rsidR="00F6399E" w:rsidRDefault="00F6399E" w:rsidP="00F6399E">
      <w:pPr>
        <w:pStyle w:val="NoSpacing"/>
      </w:pPr>
      <w:r>
        <w:t xml:space="preserve">This </w:t>
      </w:r>
      <w:r w:rsidR="004E2019">
        <w:t>was</w:t>
      </w:r>
      <w:r>
        <w:t xml:space="preserve"> a retrospective cohort study of </w:t>
      </w:r>
      <w:r w:rsidR="007A0391">
        <w:t>veterans</w:t>
      </w:r>
      <w:r>
        <w:t xml:space="preserve"> within the Durham VA Healthcare System with a diagnosis of T2DM who were initiated on empagliflozin between January 1, 2015 and August 31, 2020. </w:t>
      </w:r>
      <w:r w:rsidR="007A0391">
        <w:t>Veterans</w:t>
      </w:r>
      <w:r>
        <w:t xml:space="preserve"> were identified via SLQ query of the Corporate Data Warehouse based on ICD-9 and ICD-10 codes. Additional chart review was used for application of inclusion and exclusion criteria along with data collection.</w:t>
      </w:r>
      <w:r w:rsidR="00B52F82">
        <w:t xml:space="preserve"> Last observation carried forward imputation used for missing data points. Baseline data points were compared to data at 6-, 12-,  24-, and 48-months post empagliflozin initiation. </w:t>
      </w:r>
    </w:p>
    <w:p w14:paraId="083F7913" w14:textId="77777777" w:rsidR="00F6399E" w:rsidRDefault="00F6399E" w:rsidP="00F6399E">
      <w:pPr>
        <w:pStyle w:val="NoSpacing"/>
      </w:pPr>
    </w:p>
    <w:p w14:paraId="061479BD" w14:textId="77777777" w:rsidR="00F6399E" w:rsidRDefault="00F6399E" w:rsidP="00F6399E">
      <w:pPr>
        <w:pStyle w:val="NoSpacing"/>
        <w:rPr>
          <w:b/>
          <w:bCs/>
        </w:rPr>
      </w:pPr>
      <w:r>
        <w:rPr>
          <w:b/>
          <w:bCs/>
        </w:rPr>
        <w:t>Objectives</w:t>
      </w:r>
    </w:p>
    <w:p w14:paraId="017B0111" w14:textId="2AF86DB5" w:rsidR="00F6399E" w:rsidRDefault="00F6399E" w:rsidP="00F6399E">
      <w:pPr>
        <w:pStyle w:val="NoSpacing"/>
        <w:rPr>
          <w:bCs/>
        </w:rPr>
      </w:pPr>
      <w:r>
        <w:t xml:space="preserve">The primary objective of this study </w:t>
      </w:r>
      <w:r w:rsidR="004E2019">
        <w:t>was</w:t>
      </w:r>
      <w:r>
        <w:t xml:space="preserve"> to </w:t>
      </w:r>
      <w:r>
        <w:rPr>
          <w:bCs/>
        </w:rPr>
        <w:t>a</w:t>
      </w:r>
      <w:r w:rsidRPr="006F7B17">
        <w:rPr>
          <w:bCs/>
        </w:rPr>
        <w:t xml:space="preserve">ssess the change in urine ACR in </w:t>
      </w:r>
      <w:r w:rsidR="004E2019">
        <w:rPr>
          <w:bCs/>
        </w:rPr>
        <w:t>v</w:t>
      </w:r>
      <w:r>
        <w:rPr>
          <w:bCs/>
        </w:rPr>
        <w:t>eterans</w:t>
      </w:r>
      <w:r w:rsidRPr="006F7B17">
        <w:rPr>
          <w:bCs/>
        </w:rPr>
        <w:t xml:space="preserve"> with T2DM on empagliflozin.</w:t>
      </w:r>
      <w:r>
        <w:rPr>
          <w:bCs/>
        </w:rPr>
        <w:t xml:space="preserve"> Secondary objectives </w:t>
      </w:r>
      <w:r w:rsidR="004E2019">
        <w:rPr>
          <w:bCs/>
        </w:rPr>
        <w:t>were</w:t>
      </w:r>
      <w:r>
        <w:rPr>
          <w:bCs/>
        </w:rPr>
        <w:t xml:space="preserve"> to assess </w:t>
      </w:r>
      <w:r w:rsidRPr="006F7B17">
        <w:rPr>
          <w:bCs/>
        </w:rPr>
        <w:t xml:space="preserve">the change in ACR and eGFR in </w:t>
      </w:r>
      <w:r w:rsidR="004E2019">
        <w:rPr>
          <w:bCs/>
        </w:rPr>
        <w:t>v</w:t>
      </w:r>
      <w:r>
        <w:rPr>
          <w:bCs/>
        </w:rPr>
        <w:t>eterans</w:t>
      </w:r>
      <w:r w:rsidRPr="006F7B17">
        <w:rPr>
          <w:bCs/>
        </w:rPr>
        <w:t xml:space="preserve"> with T2DM on empagliflozin at specified timepoints</w:t>
      </w:r>
      <w:r>
        <w:rPr>
          <w:bCs/>
        </w:rPr>
        <w:t>.</w:t>
      </w:r>
    </w:p>
    <w:p w14:paraId="38CA81D9" w14:textId="4BE4268A" w:rsidR="00F6399E" w:rsidRDefault="00F6399E" w:rsidP="00F6399E">
      <w:pPr>
        <w:pStyle w:val="NoSpacing"/>
        <w:rPr>
          <w:bCs/>
        </w:rPr>
      </w:pPr>
    </w:p>
    <w:p w14:paraId="0AA76BA1" w14:textId="507F4D7F" w:rsidR="00F6399E" w:rsidRDefault="00F6399E" w:rsidP="00F6399E">
      <w:pPr>
        <w:pStyle w:val="NoSpacing"/>
        <w:rPr>
          <w:b/>
        </w:rPr>
      </w:pPr>
      <w:r>
        <w:rPr>
          <w:b/>
        </w:rPr>
        <w:t>Results</w:t>
      </w:r>
    </w:p>
    <w:p w14:paraId="3ECCEE15" w14:textId="4D57326A" w:rsidR="00F6399E" w:rsidRDefault="00F6399E" w:rsidP="00F6399E">
      <w:pPr>
        <w:pStyle w:val="NoSpacing"/>
        <w:rPr>
          <w:rFonts w:cs="Arial"/>
          <w:bCs/>
        </w:rPr>
      </w:pPr>
      <w:r>
        <w:rPr>
          <w:bCs/>
        </w:rPr>
        <w:t xml:space="preserve">482 </w:t>
      </w:r>
      <w:r w:rsidR="007A0391">
        <w:rPr>
          <w:bCs/>
        </w:rPr>
        <w:t>veterans</w:t>
      </w:r>
      <w:r>
        <w:rPr>
          <w:bCs/>
        </w:rPr>
        <w:t xml:space="preserve"> were identified as meeting inclusion criteria. </w:t>
      </w:r>
      <w:r w:rsidR="00B52F82">
        <w:rPr>
          <w:bCs/>
        </w:rPr>
        <w:t>The primary endpoint</w:t>
      </w:r>
      <w:r w:rsidR="00E61443">
        <w:rPr>
          <w:bCs/>
        </w:rPr>
        <w:t xml:space="preserve">, change in ACR from baseline to 12 months in </w:t>
      </w:r>
      <w:r w:rsidR="007A0391">
        <w:rPr>
          <w:bCs/>
        </w:rPr>
        <w:t>veterans</w:t>
      </w:r>
      <w:r w:rsidR="00E61443">
        <w:rPr>
          <w:bCs/>
        </w:rPr>
        <w:t xml:space="preserve"> with baseline ACR </w:t>
      </w:r>
      <w:r w:rsidR="00E61443">
        <w:rPr>
          <w:rFonts w:ascii="Times New Roman" w:hAnsi="Times New Roman"/>
          <w:bCs/>
        </w:rPr>
        <w:t>≥</w:t>
      </w:r>
      <w:r w:rsidR="00E61443">
        <w:rPr>
          <w:bCs/>
        </w:rPr>
        <w:t>30 mg/g,</w:t>
      </w:r>
      <w:r w:rsidR="00B52F82">
        <w:rPr>
          <w:bCs/>
        </w:rPr>
        <w:t xml:space="preserve"> </w:t>
      </w:r>
      <w:r w:rsidR="006A3DEF">
        <w:rPr>
          <w:bCs/>
        </w:rPr>
        <w:t>was</w:t>
      </w:r>
      <w:r w:rsidR="00E61443">
        <w:rPr>
          <w:bCs/>
        </w:rPr>
        <w:t xml:space="preserve"> -38.9 mg/g</w:t>
      </w:r>
      <w:r w:rsidR="006A3DEF">
        <w:rPr>
          <w:bCs/>
        </w:rPr>
        <w:t xml:space="preserve"> (</w:t>
      </w:r>
      <w:r w:rsidR="00E61443">
        <w:rPr>
          <w:bCs/>
        </w:rPr>
        <w:t xml:space="preserve">p-value = 0.3). </w:t>
      </w:r>
      <w:r w:rsidR="006A3DEF">
        <w:rPr>
          <w:bCs/>
        </w:rPr>
        <w:t>The</w:t>
      </w:r>
      <w:r w:rsidR="00E61443">
        <w:rPr>
          <w:bCs/>
        </w:rPr>
        <w:t xml:space="preserve"> decline in ACR in this group at 6 months </w:t>
      </w:r>
      <w:r w:rsidR="006A3DEF">
        <w:rPr>
          <w:bCs/>
        </w:rPr>
        <w:t xml:space="preserve">was </w:t>
      </w:r>
      <w:r w:rsidR="00E61443">
        <w:rPr>
          <w:bCs/>
        </w:rPr>
        <w:t>-55.0 mg/g</w:t>
      </w:r>
      <w:r w:rsidR="006A3DEF">
        <w:rPr>
          <w:bCs/>
        </w:rPr>
        <w:t xml:space="preserve"> (</w:t>
      </w:r>
      <w:r w:rsidR="00E61443">
        <w:rPr>
          <w:bCs/>
        </w:rPr>
        <w:t>p-value = 0.0007). There was also a</w:t>
      </w:r>
      <w:r w:rsidR="006A3DEF">
        <w:rPr>
          <w:bCs/>
        </w:rPr>
        <w:t xml:space="preserve"> </w:t>
      </w:r>
      <w:r w:rsidR="00E61443">
        <w:rPr>
          <w:bCs/>
        </w:rPr>
        <w:t xml:space="preserve">decline in ACR in </w:t>
      </w:r>
      <w:r w:rsidR="007A0391">
        <w:rPr>
          <w:bCs/>
        </w:rPr>
        <w:t>veterans</w:t>
      </w:r>
      <w:r w:rsidR="00E61443">
        <w:rPr>
          <w:bCs/>
        </w:rPr>
        <w:t xml:space="preserve"> with a baseline ACR </w:t>
      </w:r>
      <w:r w:rsidR="00E61443">
        <w:rPr>
          <w:rFonts w:ascii="Times New Roman" w:hAnsi="Times New Roman"/>
          <w:bCs/>
        </w:rPr>
        <w:t>≥</w:t>
      </w:r>
      <w:r w:rsidR="00E61443">
        <w:rPr>
          <w:rFonts w:cs="Arial"/>
          <w:bCs/>
        </w:rPr>
        <w:t>300 mg/g at 6, 24, and 48 months (-206.3 mg/g, p-value 0.0003; -238.3 mg/g, p-value</w:t>
      </w:r>
      <w:r w:rsidR="007A0391">
        <w:rPr>
          <w:rFonts w:cs="Arial"/>
          <w:bCs/>
        </w:rPr>
        <w:t xml:space="preserve"> = 0.03; -232.6 mg/g, p-value = 0.04). In </w:t>
      </w:r>
      <w:r w:rsidR="00162E93">
        <w:rPr>
          <w:rFonts w:cs="Arial"/>
          <w:bCs/>
        </w:rPr>
        <w:t>veterans with baseline ACR 30-300</w:t>
      </w:r>
      <w:r w:rsidR="004E2019">
        <w:rPr>
          <w:rFonts w:cs="Arial"/>
          <w:bCs/>
        </w:rPr>
        <w:t>,</w:t>
      </w:r>
      <w:r w:rsidR="00162E93">
        <w:rPr>
          <w:rFonts w:cs="Arial"/>
          <w:bCs/>
        </w:rPr>
        <w:t xml:space="preserve"> ACR was higher at 24 and 48 months</w:t>
      </w:r>
      <w:r w:rsidR="006A3DEF">
        <w:rPr>
          <w:rFonts w:cs="Arial"/>
          <w:bCs/>
        </w:rPr>
        <w:t xml:space="preserve"> post-empagliflozin initiation</w:t>
      </w:r>
      <w:r w:rsidR="00162E93">
        <w:rPr>
          <w:rFonts w:cs="Arial"/>
          <w:bCs/>
        </w:rPr>
        <w:t xml:space="preserve"> (44.9 mg/g, p-value = 0.01; 44.9 mg/g, p-value = 0.01)</w:t>
      </w:r>
      <w:r w:rsidR="006A3DEF">
        <w:rPr>
          <w:rFonts w:cs="Arial"/>
          <w:bCs/>
        </w:rPr>
        <w:t>.</w:t>
      </w:r>
      <w:r w:rsidR="007A0391">
        <w:rPr>
          <w:rFonts w:cs="Arial"/>
          <w:bCs/>
        </w:rPr>
        <w:t xml:space="preserve"> Decline in eGFR was statistically significant at all timepoints regardless </w:t>
      </w:r>
      <w:r w:rsidR="004E2019">
        <w:rPr>
          <w:rFonts w:cs="Arial"/>
          <w:bCs/>
        </w:rPr>
        <w:t xml:space="preserve">of </w:t>
      </w:r>
      <w:r w:rsidR="007A0391">
        <w:rPr>
          <w:rFonts w:cs="Arial"/>
          <w:bCs/>
        </w:rPr>
        <w:t xml:space="preserve">baseline ACR. </w:t>
      </w:r>
      <w:r w:rsidR="00162E93">
        <w:rPr>
          <w:rFonts w:cs="Arial"/>
          <w:bCs/>
        </w:rPr>
        <w:t xml:space="preserve">The results of other endpoints were not statistically significant. </w:t>
      </w:r>
    </w:p>
    <w:p w14:paraId="6410CF51" w14:textId="73EE52F4" w:rsidR="007A0391" w:rsidRDefault="007A0391" w:rsidP="00F6399E">
      <w:pPr>
        <w:pStyle w:val="NoSpacing"/>
        <w:rPr>
          <w:rFonts w:cs="Arial"/>
          <w:bCs/>
        </w:rPr>
      </w:pPr>
    </w:p>
    <w:p w14:paraId="18F15680" w14:textId="48EA3960" w:rsidR="007A0391" w:rsidRDefault="007A0391" w:rsidP="00F6399E">
      <w:pPr>
        <w:pStyle w:val="NoSpacing"/>
        <w:rPr>
          <w:rFonts w:cs="Arial"/>
          <w:b/>
        </w:rPr>
      </w:pPr>
      <w:r>
        <w:rPr>
          <w:rFonts w:cs="Arial"/>
          <w:b/>
        </w:rPr>
        <w:t>Discussion</w:t>
      </w:r>
    </w:p>
    <w:p w14:paraId="00753713" w14:textId="524CB44D" w:rsidR="007A0391" w:rsidRPr="007A0391" w:rsidRDefault="007A0391" w:rsidP="00162E93">
      <w:pPr>
        <w:pStyle w:val="NoSpacing"/>
        <w:rPr>
          <w:rFonts w:cs="Arial"/>
          <w:bCs/>
        </w:rPr>
      </w:pPr>
      <w:r w:rsidRPr="007A0391">
        <w:rPr>
          <w:rFonts w:cs="Arial"/>
          <w:bCs/>
        </w:rPr>
        <w:t xml:space="preserve">Impact of empagliflozin on ACR was variable based on timepoint and baseline ACR with the largest improvement in ACR seen in </w:t>
      </w:r>
      <w:r>
        <w:rPr>
          <w:rFonts w:cs="Arial"/>
          <w:bCs/>
        </w:rPr>
        <w:t>veterans</w:t>
      </w:r>
      <w:r w:rsidRPr="007A0391">
        <w:rPr>
          <w:rFonts w:cs="Arial"/>
          <w:bCs/>
        </w:rPr>
        <w:t xml:space="preserve"> with macroalbuminuria at the time of empagliflozin initiation</w:t>
      </w:r>
      <w:r>
        <w:rPr>
          <w:rFonts w:cs="Arial"/>
          <w:bCs/>
        </w:rPr>
        <w:t>.</w:t>
      </w:r>
      <w:r w:rsidR="00162E93">
        <w:rPr>
          <w:rFonts w:cs="Arial"/>
          <w:bCs/>
        </w:rPr>
        <w:t xml:space="preserve"> </w:t>
      </w:r>
      <w:r>
        <w:rPr>
          <w:rFonts w:cs="Arial"/>
          <w:bCs/>
        </w:rPr>
        <w:t>eGFR declined across all timepoints although the m</w:t>
      </w:r>
      <w:r w:rsidRPr="007A0391">
        <w:rPr>
          <w:rFonts w:cs="Arial"/>
          <w:bCs/>
        </w:rPr>
        <w:t>ean difference in eGFR from baseline to 48</w:t>
      </w:r>
      <w:r w:rsidR="00162E93">
        <w:rPr>
          <w:rFonts w:cs="Arial"/>
          <w:bCs/>
        </w:rPr>
        <w:t xml:space="preserve"> </w:t>
      </w:r>
      <w:r w:rsidRPr="007A0391">
        <w:rPr>
          <w:rFonts w:cs="Arial"/>
          <w:bCs/>
        </w:rPr>
        <w:t xml:space="preserve">months </w:t>
      </w:r>
      <w:r>
        <w:rPr>
          <w:rFonts w:cs="Arial"/>
          <w:bCs/>
        </w:rPr>
        <w:t xml:space="preserve">was </w:t>
      </w:r>
      <w:r w:rsidRPr="007A0391">
        <w:rPr>
          <w:rFonts w:cs="Arial"/>
          <w:bCs/>
        </w:rPr>
        <w:t xml:space="preserve">similar to </w:t>
      </w:r>
      <w:r>
        <w:rPr>
          <w:rFonts w:cs="Arial"/>
          <w:bCs/>
        </w:rPr>
        <w:t xml:space="preserve">the </w:t>
      </w:r>
      <w:r w:rsidRPr="007A0391">
        <w:rPr>
          <w:rFonts w:cs="Arial"/>
          <w:bCs/>
        </w:rPr>
        <w:t>decline seen in empagliflozin groups in EMPA-REG OUTCOME tria</w:t>
      </w:r>
      <w:r>
        <w:rPr>
          <w:rFonts w:cs="Arial"/>
          <w:bCs/>
        </w:rPr>
        <w:t>l.</w:t>
      </w:r>
      <w:r w:rsidR="00162E93">
        <w:rPr>
          <w:rFonts w:cs="Arial"/>
          <w:bCs/>
        </w:rPr>
        <w:t xml:space="preserve"> </w:t>
      </w:r>
      <w:r w:rsidRPr="007A0391">
        <w:rPr>
          <w:rFonts w:cs="Arial"/>
          <w:bCs/>
        </w:rPr>
        <w:t>The use of imputation for missing laboratory values may have impacted the results in the setting of extended monitoring intervals during the COVID-19 pandemic</w:t>
      </w:r>
      <w:r w:rsidR="00162E93">
        <w:rPr>
          <w:rFonts w:cs="Arial"/>
          <w:bCs/>
        </w:rPr>
        <w:t xml:space="preserve">. </w:t>
      </w:r>
      <w:r w:rsidRPr="007A0391">
        <w:rPr>
          <w:rFonts w:cs="Arial"/>
          <w:bCs/>
        </w:rPr>
        <w:t>Imputation was necessary for ≥42% of ACR data points which may explain why many results were not statistically significant and why ACR was higher in veterans with a baseline ACR of 30-300 mg/g</w:t>
      </w:r>
      <w:r w:rsidR="00162E93">
        <w:rPr>
          <w:rFonts w:cs="Arial"/>
          <w:bCs/>
        </w:rPr>
        <w:t xml:space="preserve"> at 24 and 48 months. The lack of data</w:t>
      </w:r>
      <w:r w:rsidR="00FD575F">
        <w:rPr>
          <w:rFonts w:cs="Arial"/>
          <w:bCs/>
        </w:rPr>
        <w:t xml:space="preserve"> </w:t>
      </w:r>
      <w:r w:rsidR="00162E93">
        <w:rPr>
          <w:rFonts w:cs="Arial"/>
          <w:bCs/>
        </w:rPr>
        <w:t xml:space="preserve">points </w:t>
      </w:r>
      <w:r w:rsidRPr="007A0391">
        <w:rPr>
          <w:rFonts w:cs="Arial"/>
          <w:bCs/>
        </w:rPr>
        <w:t>indicate</w:t>
      </w:r>
      <w:r w:rsidR="00162E93">
        <w:rPr>
          <w:rFonts w:cs="Arial"/>
          <w:bCs/>
        </w:rPr>
        <w:t>s</w:t>
      </w:r>
      <w:r w:rsidRPr="007A0391">
        <w:rPr>
          <w:rFonts w:cs="Arial"/>
          <w:bCs/>
        </w:rPr>
        <w:t xml:space="preserve"> </w:t>
      </w:r>
      <w:r w:rsidR="00162E93">
        <w:rPr>
          <w:rFonts w:cs="Arial"/>
          <w:bCs/>
        </w:rPr>
        <w:t xml:space="preserve">an </w:t>
      </w:r>
      <w:r w:rsidRPr="007A0391">
        <w:rPr>
          <w:rFonts w:cs="Arial"/>
          <w:bCs/>
        </w:rPr>
        <w:t xml:space="preserve">opportunity for provider education given ADA guidelines recommend ACR monitoring in </w:t>
      </w:r>
      <w:r>
        <w:rPr>
          <w:rFonts w:cs="Arial"/>
          <w:bCs/>
        </w:rPr>
        <w:t>veterans</w:t>
      </w:r>
      <w:r w:rsidRPr="007A0391">
        <w:rPr>
          <w:rFonts w:cs="Arial"/>
          <w:bCs/>
        </w:rPr>
        <w:t xml:space="preserve"> with T2DM at least once yearl</w:t>
      </w:r>
      <w:r w:rsidR="00162E93">
        <w:rPr>
          <w:rFonts w:cs="Arial"/>
          <w:bCs/>
        </w:rPr>
        <w:t>y.</w:t>
      </w:r>
    </w:p>
    <w:p w14:paraId="572D38D6" w14:textId="77777777" w:rsidR="00F6399E" w:rsidRPr="00F6399E" w:rsidRDefault="00F6399E" w:rsidP="00F6399E">
      <w:pPr>
        <w:pStyle w:val="NoSpacing"/>
        <w:rPr>
          <w:bCs/>
        </w:rPr>
      </w:pPr>
    </w:p>
    <w:sectPr w:rsidR="00F6399E" w:rsidRPr="00F6399E" w:rsidSect="007A0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867"/>
    <w:multiLevelType w:val="hybridMultilevel"/>
    <w:tmpl w:val="3EFEF004"/>
    <w:lvl w:ilvl="0" w:tplc="5AD6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D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4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5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0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9E"/>
    <w:rsid w:val="00162E93"/>
    <w:rsid w:val="004E2019"/>
    <w:rsid w:val="006A3DEF"/>
    <w:rsid w:val="007A0391"/>
    <w:rsid w:val="00B52F82"/>
    <w:rsid w:val="00E61443"/>
    <w:rsid w:val="00F6399E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C845"/>
  <w15:chartTrackingRefBased/>
  <w15:docId w15:val="{14A1C35D-01B4-4964-8D13-4C1A09F8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99E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4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Alec M., DVAHCS</dc:creator>
  <cp:keywords/>
  <dc:description/>
  <cp:lastModifiedBy>Gates, Alec M., DVAHCS</cp:lastModifiedBy>
  <cp:revision>2</cp:revision>
  <dcterms:created xsi:type="dcterms:W3CDTF">2022-03-22T22:00:00Z</dcterms:created>
  <dcterms:modified xsi:type="dcterms:W3CDTF">2022-03-22T22:00:00Z</dcterms:modified>
</cp:coreProperties>
</file>