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5EDF" w14:textId="291654E6" w:rsidR="00F41C53" w:rsidRPr="00D73976" w:rsidRDefault="00F41C53" w:rsidP="004A5F93">
      <w:pPr>
        <w:spacing w:line="240" w:lineRule="auto"/>
        <w:jc w:val="center"/>
        <w:rPr>
          <w:b/>
          <w:bCs/>
        </w:rPr>
      </w:pPr>
      <w:r w:rsidRPr="00D73976">
        <w:rPr>
          <w:b/>
          <w:bCs/>
        </w:rPr>
        <w:t>Optimizing Management of Nonemergent Acute Hypertension in a Community Hospital</w:t>
      </w:r>
    </w:p>
    <w:p w14:paraId="69603212" w14:textId="77777777" w:rsidR="00F41C53" w:rsidRPr="00D73976" w:rsidRDefault="00F41C53" w:rsidP="004A5F93">
      <w:pPr>
        <w:spacing w:line="240" w:lineRule="auto"/>
      </w:pPr>
    </w:p>
    <w:p w14:paraId="412887EC" w14:textId="664190A8" w:rsidR="008049BE" w:rsidRPr="00D73976" w:rsidRDefault="008049BE" w:rsidP="004A5F93">
      <w:pPr>
        <w:spacing w:line="240" w:lineRule="auto"/>
      </w:pPr>
      <w:r w:rsidRPr="00D73976">
        <w:rPr>
          <w:b/>
          <w:bCs/>
        </w:rPr>
        <w:t>Authors</w:t>
      </w:r>
      <w:r w:rsidRPr="00D73976">
        <w:t>: Davis H, Shearin S</w:t>
      </w:r>
      <w:r w:rsidR="00734C47">
        <w:t>,</w:t>
      </w:r>
      <w:r w:rsidR="00734C47" w:rsidRPr="00734C47">
        <w:t xml:space="preserve"> </w:t>
      </w:r>
      <w:r w:rsidR="00734C47" w:rsidRPr="00D73976">
        <w:t>Kline M</w:t>
      </w:r>
      <w:r w:rsidR="00734C47">
        <w:t>,</w:t>
      </w:r>
      <w:r w:rsidR="00734C47" w:rsidRPr="00D73976">
        <w:t xml:space="preserve"> Barefoot L</w:t>
      </w:r>
    </w:p>
    <w:p w14:paraId="4AF33C47" w14:textId="77777777" w:rsidR="008049BE" w:rsidRPr="00D73976" w:rsidRDefault="008049BE" w:rsidP="004A5F93">
      <w:pPr>
        <w:spacing w:line="240" w:lineRule="auto"/>
        <w:rPr>
          <w:rFonts w:eastAsia="Times New Roman"/>
          <w:sz w:val="24"/>
          <w:szCs w:val="24"/>
        </w:rPr>
      </w:pPr>
    </w:p>
    <w:p w14:paraId="705C5DEF" w14:textId="77777777" w:rsidR="008049BE" w:rsidRPr="00D73976" w:rsidRDefault="008049BE" w:rsidP="004A5F93">
      <w:pPr>
        <w:spacing w:line="240" w:lineRule="auto"/>
      </w:pPr>
      <w:r w:rsidRPr="00D73976">
        <w:rPr>
          <w:b/>
          <w:bCs/>
        </w:rPr>
        <w:t>Practice Site:</w:t>
      </w:r>
      <w:r w:rsidRPr="00D73976">
        <w:t xml:space="preserve"> Carteret Health Care, Morehead City, NC</w:t>
      </w:r>
    </w:p>
    <w:p w14:paraId="67D30295" w14:textId="77777777" w:rsidR="008049BE" w:rsidRPr="00D73976" w:rsidRDefault="008049BE" w:rsidP="004A5F93">
      <w:pPr>
        <w:spacing w:line="240" w:lineRule="auto"/>
        <w:rPr>
          <w:rFonts w:eastAsia="Times New Roman"/>
          <w:sz w:val="24"/>
          <w:szCs w:val="24"/>
        </w:rPr>
      </w:pPr>
    </w:p>
    <w:p w14:paraId="232B9359" w14:textId="7FD59345" w:rsidR="00F41C53" w:rsidRPr="00D73976" w:rsidRDefault="00F41C53" w:rsidP="004A5F93">
      <w:pPr>
        <w:spacing w:line="240" w:lineRule="auto"/>
      </w:pPr>
      <w:r w:rsidRPr="00D73976">
        <w:rPr>
          <w:b/>
          <w:bCs/>
        </w:rPr>
        <w:t>Background:</w:t>
      </w:r>
      <w:r w:rsidRPr="00D73976">
        <w:t xml:space="preserve"> Non</w:t>
      </w:r>
      <w:r w:rsidR="00BE416A">
        <w:t>-</w:t>
      </w:r>
      <w:r w:rsidRPr="00D73976">
        <w:t>emergent acute hypertension is a common finding in the hospital setting. Management strategies for these episodes vary widely between institutions</w:t>
      </w:r>
      <w:r w:rsidR="004C42C2">
        <w:t>. A</w:t>
      </w:r>
      <w:r w:rsidRPr="00D73976">
        <w:t xml:space="preserve">vailable literature suggests that overuse of antihypertensives, especially intravenous agents, yields minimal benefit and increases adverse events. </w:t>
      </w:r>
      <w:r w:rsidR="004C42C2">
        <w:t>N</w:t>
      </w:r>
      <w:r w:rsidRPr="00D73976">
        <w:t>ew antihypertensive treatment should be aimed at lowering blood pressure gradually using oral therapy when possible</w:t>
      </w:r>
      <w:r w:rsidR="004C42C2">
        <w:t xml:space="preserve"> </w:t>
      </w:r>
      <w:r w:rsidRPr="00D73976">
        <w:t>after addressing home antihypertensives and secondary causes.</w:t>
      </w:r>
    </w:p>
    <w:p w14:paraId="6F716467" w14:textId="77777777" w:rsidR="00F41C53" w:rsidRPr="00D73976" w:rsidRDefault="00F41C53" w:rsidP="004A5F93">
      <w:pPr>
        <w:spacing w:line="240" w:lineRule="auto"/>
      </w:pPr>
    </w:p>
    <w:p w14:paraId="0A4CD863" w14:textId="3EE34400" w:rsidR="004012E3" w:rsidRPr="004012E3" w:rsidRDefault="008049BE" w:rsidP="004012E3">
      <w:pPr>
        <w:rPr>
          <w:lang w:val="en-US"/>
        </w:rPr>
      </w:pPr>
      <w:r w:rsidRPr="00D73976">
        <w:rPr>
          <w:b/>
          <w:bCs/>
        </w:rPr>
        <w:t>Purpose:</w:t>
      </w:r>
      <w:r w:rsidRPr="00D73976">
        <w:t xml:space="preserve"> At our institution there is limited guidance for managing these episodes. </w:t>
      </w:r>
      <w:r w:rsidR="004012E3">
        <w:t xml:space="preserve">The purpose of this research was to </w:t>
      </w:r>
      <w:r w:rsidR="004012E3">
        <w:rPr>
          <w:lang w:val="en-US"/>
        </w:rPr>
        <w:t>e</w:t>
      </w:r>
      <w:r w:rsidR="004012E3" w:rsidRPr="004012E3">
        <w:rPr>
          <w:lang w:val="en-US"/>
        </w:rPr>
        <w:t>valuate antihypertensive use before and after implementation of a provider order set addressing non-emergent acute hypertension in a community hospital</w:t>
      </w:r>
      <w:r w:rsidR="003E7C2B">
        <w:rPr>
          <w:lang w:val="en-US"/>
        </w:rPr>
        <w:t>.</w:t>
      </w:r>
      <w:r w:rsidR="004012E3" w:rsidRPr="004012E3">
        <w:rPr>
          <w:lang w:val="en-US"/>
        </w:rPr>
        <w:t xml:space="preserve"> </w:t>
      </w:r>
    </w:p>
    <w:p w14:paraId="7E883BD3" w14:textId="4115FAEC" w:rsidR="008049BE" w:rsidRPr="00D73976" w:rsidRDefault="008049BE" w:rsidP="004A5F93">
      <w:pPr>
        <w:spacing w:line="240" w:lineRule="auto"/>
        <w:rPr>
          <w:rFonts w:eastAsia="Times New Roman"/>
          <w:sz w:val="24"/>
          <w:szCs w:val="24"/>
        </w:rPr>
      </w:pPr>
    </w:p>
    <w:p w14:paraId="4B6C1A4B" w14:textId="36A63E71" w:rsidR="008049BE" w:rsidRPr="00D73976" w:rsidRDefault="008049BE" w:rsidP="004A5F93">
      <w:pPr>
        <w:spacing w:line="240" w:lineRule="auto"/>
        <w:rPr>
          <w:lang w:val="en-US"/>
        </w:rPr>
      </w:pPr>
      <w:r w:rsidRPr="00D73976">
        <w:rPr>
          <w:b/>
          <w:bCs/>
        </w:rPr>
        <w:t>Methods:</w:t>
      </w:r>
      <w:r w:rsidRPr="00D73976">
        <w:t xml:space="preserve"> This w</w:t>
      </w:r>
      <w:r w:rsidR="00D73976" w:rsidRPr="00D73976">
        <w:t>as</w:t>
      </w:r>
      <w:r w:rsidRPr="00D73976">
        <w:t xml:space="preserve"> a </w:t>
      </w:r>
      <w:r w:rsidR="00D73976" w:rsidRPr="00D73976">
        <w:rPr>
          <w:lang w:val="en-US"/>
        </w:rPr>
        <w:t xml:space="preserve">single-center, retrospective, observational, quality improvement study </w:t>
      </w:r>
      <w:r w:rsidRPr="00D73976">
        <w:t xml:space="preserve">evaluating antihypertensive medication use before and after the implementation of an order </w:t>
      </w:r>
      <w:r w:rsidR="002822CF" w:rsidRPr="00D73976">
        <w:t>set</w:t>
      </w:r>
      <w:r w:rsidR="002822CF">
        <w:t xml:space="preserve"> and providing</w:t>
      </w:r>
      <w:r w:rsidR="00F846C5">
        <w:t xml:space="preserve"> education </w:t>
      </w:r>
      <w:r w:rsidR="002822CF" w:rsidRPr="00D73976">
        <w:t>to</w:t>
      </w:r>
      <w:r w:rsidRPr="00D73976">
        <w:t xml:space="preserve"> optimize antihypertensive use for non</w:t>
      </w:r>
      <w:r w:rsidR="00F846C5">
        <w:t>-</w:t>
      </w:r>
      <w:r w:rsidRPr="00D73976">
        <w:t xml:space="preserve">emergent acute </w:t>
      </w:r>
      <w:r w:rsidR="00F41C53" w:rsidRPr="00D73976">
        <w:t>hypertension</w:t>
      </w:r>
      <w:r w:rsidRPr="00D73976">
        <w:t>. The primary o</w:t>
      </w:r>
      <w:r w:rsidR="00D73976" w:rsidRPr="00D73976">
        <w:t>utcome</w:t>
      </w:r>
      <w:r w:rsidRPr="00D73976">
        <w:t xml:space="preserve"> of th</w:t>
      </w:r>
      <w:r w:rsidR="00D73976" w:rsidRPr="00D73976">
        <w:t>e</w:t>
      </w:r>
      <w:r w:rsidRPr="00D73976">
        <w:t xml:space="preserve"> study </w:t>
      </w:r>
      <w:r w:rsidR="00F124EC">
        <w:rPr>
          <w:lang w:val="en-US"/>
        </w:rPr>
        <w:t xml:space="preserve">was to assess </w:t>
      </w:r>
      <w:r w:rsidR="00D73976" w:rsidRPr="00D73976">
        <w:rPr>
          <w:lang w:val="en-US"/>
        </w:rPr>
        <w:t xml:space="preserve">the difference in the usage of intravenous antihypertensives during episodes of non-emergent acute hypertension. </w:t>
      </w:r>
      <w:r w:rsidRPr="00D73976">
        <w:t xml:space="preserve">Secondary </w:t>
      </w:r>
      <w:r w:rsidR="00D73976" w:rsidRPr="00D73976">
        <w:t>outcomes</w:t>
      </w:r>
      <w:r w:rsidRPr="00D73976">
        <w:t xml:space="preserve"> include assessing the time to initiation of home antihypertensives and cost reduction associated with the use of oral therapy </w:t>
      </w:r>
      <w:r w:rsidR="00D73976" w:rsidRPr="00D73976">
        <w:t>versus</w:t>
      </w:r>
      <w:r w:rsidRPr="00D73976">
        <w:t xml:space="preserve"> intravenous therapy. P</w:t>
      </w:r>
      <w:r w:rsidR="00CD0257">
        <w:t>hysician</w:t>
      </w:r>
      <w:r w:rsidRPr="00D73976">
        <w:t xml:space="preserve"> education will be offered regarding the order set developed. Patients to be assessed include</w:t>
      </w:r>
      <w:r w:rsidR="00F846C5">
        <w:t>d</w:t>
      </w:r>
      <w:r w:rsidRPr="00D73976">
        <w:t xml:space="preserve"> non-pregnant adults receiving intravenous </w:t>
      </w:r>
      <w:r w:rsidR="005C1614">
        <w:t xml:space="preserve">as needed </w:t>
      </w:r>
      <w:r w:rsidRPr="00D73976">
        <w:t xml:space="preserve">antihypertensive therapy with a systolic blood pressure </w:t>
      </w:r>
      <w:r w:rsidRPr="00D73976">
        <w:rPr>
          <w:rFonts w:eastAsia="Arial Unicode MS"/>
          <w:color w:val="202124"/>
          <w:sz w:val="24"/>
          <w:szCs w:val="24"/>
          <w:highlight w:val="white"/>
        </w:rPr>
        <w:t>≥</w:t>
      </w:r>
      <w:r w:rsidRPr="00D73976">
        <w:t xml:space="preserve"> 180 or diastolic blood pressure </w:t>
      </w:r>
      <w:r w:rsidRPr="00D73976">
        <w:rPr>
          <w:rFonts w:eastAsia="Arial Unicode MS"/>
          <w:color w:val="202124"/>
          <w:sz w:val="24"/>
          <w:szCs w:val="24"/>
          <w:highlight w:val="white"/>
        </w:rPr>
        <w:t>≥</w:t>
      </w:r>
      <w:r w:rsidRPr="00D73976">
        <w:t xml:space="preserve"> 120 with</w:t>
      </w:r>
      <w:r w:rsidR="00CD0257">
        <w:t>out</w:t>
      </w:r>
      <w:r w:rsidRPr="00D73976">
        <w:t xml:space="preserve"> signs of end organ damage. The change in overall use of oral antihypertensives to address non</w:t>
      </w:r>
      <w:r w:rsidR="005C1614">
        <w:t>-</w:t>
      </w:r>
      <w:r w:rsidRPr="00D73976">
        <w:t xml:space="preserve">emergent acute </w:t>
      </w:r>
      <w:r w:rsidR="00F41C53" w:rsidRPr="00D73976">
        <w:t>hypertension after</w:t>
      </w:r>
      <w:r w:rsidRPr="00D73976">
        <w:t xml:space="preserve"> order set implementation will also be assessed.  </w:t>
      </w:r>
    </w:p>
    <w:p w14:paraId="0D3986D7" w14:textId="77777777" w:rsidR="008049BE" w:rsidRPr="00D73976" w:rsidRDefault="008049BE" w:rsidP="004A5F93">
      <w:pPr>
        <w:spacing w:line="240" w:lineRule="auto"/>
      </w:pPr>
    </w:p>
    <w:p w14:paraId="06ECF52B" w14:textId="7459E089" w:rsidR="00214912" w:rsidRPr="00D73976" w:rsidRDefault="008049BE" w:rsidP="004A5F93">
      <w:pPr>
        <w:spacing w:line="240" w:lineRule="auto"/>
      </w:pPr>
      <w:r w:rsidRPr="00D73976">
        <w:rPr>
          <w:b/>
          <w:bCs/>
        </w:rPr>
        <w:t xml:space="preserve">Results: </w:t>
      </w:r>
      <w:r w:rsidR="00214912">
        <w:t>Intravenous as need</w:t>
      </w:r>
      <w:r w:rsidR="0076688D">
        <w:t>ed</w:t>
      </w:r>
      <w:r w:rsidR="00214912">
        <w:t xml:space="preserve"> antihypertensive usage was decreased after order set </w:t>
      </w:r>
      <w:r w:rsidR="00F846C5">
        <w:t xml:space="preserve">implementation and </w:t>
      </w:r>
      <w:r w:rsidR="00214912">
        <w:t>education was provided</w:t>
      </w:r>
      <w:r w:rsidR="0076688D">
        <w:t xml:space="preserve">. A total of </w:t>
      </w:r>
      <w:r w:rsidR="002C64EF">
        <w:t>41</w:t>
      </w:r>
      <w:r w:rsidR="0076688D">
        <w:t xml:space="preserve"> patients were identified with </w:t>
      </w:r>
      <w:r w:rsidR="002C64EF">
        <w:t>as needed</w:t>
      </w:r>
      <w:r w:rsidR="0076688D">
        <w:t xml:space="preserve"> antihypertensives prior to order set education</w:t>
      </w:r>
      <w:r w:rsidR="002C64EF">
        <w:t xml:space="preserve"> with 36 </w:t>
      </w:r>
      <w:r w:rsidR="005C1614">
        <w:t xml:space="preserve">patients </w:t>
      </w:r>
      <w:r w:rsidR="002C64EF">
        <w:t xml:space="preserve">receiving intravenous agents and 5 </w:t>
      </w:r>
      <w:r w:rsidR="005C1614">
        <w:t xml:space="preserve">patients </w:t>
      </w:r>
      <w:r w:rsidR="002C64EF">
        <w:t>receiving oral agents</w:t>
      </w:r>
      <w:r w:rsidR="0076688D">
        <w:t xml:space="preserve">. A total of </w:t>
      </w:r>
      <w:r w:rsidR="002C64EF">
        <w:t>34</w:t>
      </w:r>
      <w:r w:rsidR="0076688D">
        <w:t xml:space="preserve"> patients were identified with </w:t>
      </w:r>
      <w:r w:rsidR="00734C47">
        <w:t xml:space="preserve">as needed </w:t>
      </w:r>
      <w:r w:rsidR="0076688D">
        <w:t>antihypertensives after order set education</w:t>
      </w:r>
      <w:r w:rsidR="002C64EF">
        <w:t xml:space="preserve"> with 15 </w:t>
      </w:r>
      <w:r w:rsidR="005C1614">
        <w:t xml:space="preserve">patients </w:t>
      </w:r>
      <w:r w:rsidR="002C64EF">
        <w:t xml:space="preserve">receiving intravenous agents and 19 </w:t>
      </w:r>
      <w:r w:rsidR="005C1614">
        <w:t xml:space="preserve">patients </w:t>
      </w:r>
      <w:r w:rsidR="002C64EF">
        <w:t>receiving oral agents</w:t>
      </w:r>
      <w:r w:rsidR="0076688D">
        <w:t>. Total intravenous antihypertensive doses decreased from 105 to 40 doses.</w:t>
      </w:r>
      <w:r w:rsidR="00CD0257">
        <w:t xml:space="preserve"> </w:t>
      </w:r>
      <w:r w:rsidR="002C64EF">
        <w:t xml:space="preserve">Total oral antihypertensive doses increased from 18 to 49 doses. </w:t>
      </w:r>
      <w:r w:rsidR="004A5F93">
        <w:t xml:space="preserve">Patients with prescribed antihypertensive agents were restarted at the next scheduled dose more frequently in the post </w:t>
      </w:r>
      <w:r w:rsidR="00F846C5">
        <w:t>intervention</w:t>
      </w:r>
      <w:r w:rsidR="004A5F93">
        <w:t xml:space="preserve"> group. Total cost for as needed antihypertensive agents was also reduced in the post </w:t>
      </w:r>
      <w:r w:rsidR="00F846C5">
        <w:t xml:space="preserve">intervention </w:t>
      </w:r>
      <w:r w:rsidR="004A5F93">
        <w:t xml:space="preserve">group. </w:t>
      </w:r>
    </w:p>
    <w:p w14:paraId="6F24A89C" w14:textId="6C656401" w:rsidR="00F41C53" w:rsidRPr="00D73976" w:rsidRDefault="00F41C53" w:rsidP="004A5F93">
      <w:pPr>
        <w:spacing w:line="240" w:lineRule="auto"/>
      </w:pPr>
    </w:p>
    <w:p w14:paraId="38F685BE" w14:textId="14090F22" w:rsidR="00BE416A" w:rsidRDefault="00F41C53" w:rsidP="004A5F93">
      <w:pPr>
        <w:spacing w:line="240" w:lineRule="auto"/>
        <w:rPr>
          <w:b/>
          <w:bCs/>
        </w:rPr>
      </w:pPr>
      <w:r w:rsidRPr="00D73976">
        <w:rPr>
          <w:b/>
          <w:bCs/>
        </w:rPr>
        <w:t xml:space="preserve">Conclusion: </w:t>
      </w:r>
      <w:r w:rsidR="00BE416A">
        <w:t xml:space="preserve">After </w:t>
      </w:r>
      <w:r w:rsidR="00F846C5">
        <w:t xml:space="preserve">the </w:t>
      </w:r>
      <w:r w:rsidR="00BE416A">
        <w:t xml:space="preserve">non-emergent </w:t>
      </w:r>
      <w:r w:rsidR="005C1614">
        <w:t xml:space="preserve">acute </w:t>
      </w:r>
      <w:r w:rsidR="00BE416A">
        <w:t xml:space="preserve">hypertension order set </w:t>
      </w:r>
      <w:r w:rsidR="00F846C5">
        <w:t xml:space="preserve">implementation and </w:t>
      </w:r>
      <w:r w:rsidR="00BE416A">
        <w:t xml:space="preserve">education, overall usage of intravenous as needed antihypertensives </w:t>
      </w:r>
      <w:r w:rsidR="00F846C5">
        <w:t xml:space="preserve">was </w:t>
      </w:r>
      <w:r w:rsidR="00BE416A">
        <w:t xml:space="preserve">decreased. Benefits </w:t>
      </w:r>
      <w:r w:rsidR="0032123C">
        <w:t xml:space="preserve">of </w:t>
      </w:r>
      <w:r w:rsidR="005C1614">
        <w:t>providing educa</w:t>
      </w:r>
      <w:r w:rsidR="0032123C">
        <w:t xml:space="preserve">tion and </w:t>
      </w:r>
      <w:r w:rsidR="00BE416A">
        <w:t xml:space="preserve">implementing </w:t>
      </w:r>
      <w:r w:rsidR="00F846C5">
        <w:t>a</w:t>
      </w:r>
      <w:r w:rsidR="005C1614">
        <w:t xml:space="preserve"> </w:t>
      </w:r>
      <w:r w:rsidR="00BE416A">
        <w:t xml:space="preserve">non-emergent </w:t>
      </w:r>
      <w:r w:rsidR="005C1614">
        <w:t xml:space="preserve">acute </w:t>
      </w:r>
      <w:r w:rsidR="00BE416A">
        <w:t xml:space="preserve">hypertension order set </w:t>
      </w:r>
      <w:r w:rsidR="00F846C5">
        <w:t>include</w:t>
      </w:r>
      <w:r w:rsidR="0032123C">
        <w:t>d</w:t>
      </w:r>
      <w:r w:rsidR="00F846C5">
        <w:t xml:space="preserve">, </w:t>
      </w:r>
      <w:r w:rsidR="00734C47">
        <w:t xml:space="preserve">decreased use of intravenous antihypertensive </w:t>
      </w:r>
      <w:r w:rsidR="0032123C">
        <w:t>usage</w:t>
      </w:r>
      <w:r w:rsidR="00734C47">
        <w:t xml:space="preserve">, </w:t>
      </w:r>
      <w:r w:rsidR="00F846C5">
        <w:t>promoted</w:t>
      </w:r>
      <w:r w:rsidR="00734C47">
        <w:t xml:space="preserve"> </w:t>
      </w:r>
      <w:r w:rsidR="0032123C">
        <w:t xml:space="preserve">use of </w:t>
      </w:r>
      <w:r w:rsidR="00734C47">
        <w:t xml:space="preserve">oral </w:t>
      </w:r>
      <w:r w:rsidR="0032123C">
        <w:t>antihypertensives</w:t>
      </w:r>
      <w:r w:rsidR="00734C47">
        <w:t xml:space="preserve">, increased timely restart of home antihypertensives, </w:t>
      </w:r>
      <w:r w:rsidR="0032123C">
        <w:t xml:space="preserve">addressed secondary causes, </w:t>
      </w:r>
      <w:r w:rsidR="00734C47">
        <w:t xml:space="preserve">and reduced costs associated with as needed antihypertensive agents. </w:t>
      </w:r>
    </w:p>
    <w:p w14:paraId="36464918" w14:textId="77777777" w:rsidR="00BE416A" w:rsidRPr="00D73976" w:rsidRDefault="00BE416A" w:rsidP="004A5F93">
      <w:pPr>
        <w:spacing w:line="240" w:lineRule="auto"/>
        <w:rPr>
          <w:b/>
          <w:bCs/>
        </w:rPr>
      </w:pPr>
    </w:p>
    <w:p w14:paraId="7B60046D" w14:textId="77777777" w:rsidR="00A61884" w:rsidRDefault="00A61884" w:rsidP="004A5F93">
      <w:pPr>
        <w:spacing w:line="240" w:lineRule="auto"/>
      </w:pPr>
    </w:p>
    <w:sectPr w:rsidR="00A6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B5A"/>
    <w:multiLevelType w:val="hybridMultilevel"/>
    <w:tmpl w:val="A086A4BC"/>
    <w:lvl w:ilvl="0" w:tplc="71BC98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8C8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A92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9A5B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F70D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6A3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DACEE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CE2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448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41743166"/>
    <w:multiLevelType w:val="hybridMultilevel"/>
    <w:tmpl w:val="B692A486"/>
    <w:lvl w:ilvl="0" w:tplc="1CE83F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79845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F22E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D6285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360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60F8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D74E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2AD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A402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1626426100">
    <w:abstractNumId w:val="0"/>
  </w:num>
  <w:num w:numId="2" w16cid:durableId="42049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BE"/>
    <w:rsid w:val="00051D6D"/>
    <w:rsid w:val="00214912"/>
    <w:rsid w:val="002822CF"/>
    <w:rsid w:val="002C64EF"/>
    <w:rsid w:val="0032123C"/>
    <w:rsid w:val="003E7C2B"/>
    <w:rsid w:val="004012E3"/>
    <w:rsid w:val="004A5F93"/>
    <w:rsid w:val="004C42C2"/>
    <w:rsid w:val="005C1614"/>
    <w:rsid w:val="00734C47"/>
    <w:rsid w:val="0076688D"/>
    <w:rsid w:val="008049BE"/>
    <w:rsid w:val="009B32D6"/>
    <w:rsid w:val="00A61884"/>
    <w:rsid w:val="00BE416A"/>
    <w:rsid w:val="00C66C85"/>
    <w:rsid w:val="00CD0257"/>
    <w:rsid w:val="00D73976"/>
    <w:rsid w:val="00F124EC"/>
    <w:rsid w:val="00F41C53"/>
    <w:rsid w:val="00F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B68A"/>
  <w15:chartTrackingRefBased/>
  <w15:docId w15:val="{2C1947B8-E3B6-45E2-AF54-3DFD88E3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B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7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0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29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Carteret Health Care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general login</dc:creator>
  <cp:keywords/>
  <dc:description/>
  <cp:lastModifiedBy>Microsoft Office User</cp:lastModifiedBy>
  <cp:revision>11</cp:revision>
  <dcterms:created xsi:type="dcterms:W3CDTF">2022-05-05T13:18:00Z</dcterms:created>
  <dcterms:modified xsi:type="dcterms:W3CDTF">2022-05-07T02:58:00Z</dcterms:modified>
</cp:coreProperties>
</file>