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FBA1" w14:textId="77777777" w:rsidR="00270B02" w:rsidRPr="00041197" w:rsidRDefault="006E5F4E" w:rsidP="006E5F4E">
      <w:pPr>
        <w:jc w:val="center"/>
        <w:rPr>
          <w:rFonts w:ascii="Helvetica" w:hAnsi="Helvetica" w:cs="Helvetica"/>
          <w:b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>Implementation of a Diabetes-focused Quality Measure Performance Program within a Specialty Pharmacy</w:t>
      </w:r>
    </w:p>
    <w:p w14:paraId="2CD90FD1" w14:textId="77777777" w:rsidR="00041197" w:rsidRDefault="00041197">
      <w:pPr>
        <w:rPr>
          <w:rFonts w:ascii="Helvetica" w:hAnsi="Helvetica" w:cs="Helvetica"/>
          <w:b/>
          <w:bCs/>
          <w:shd w:val="clear" w:color="auto" w:fill="FFFFFF"/>
        </w:rPr>
      </w:pPr>
    </w:p>
    <w:p w14:paraId="3D20F2A1" w14:textId="6C55A648" w:rsidR="006E5F4E" w:rsidRPr="00041197" w:rsidRDefault="006E5F4E">
      <w:pPr>
        <w:rPr>
          <w:rFonts w:ascii="Helvetica" w:hAnsi="Helvetica" w:cs="Helvetica"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 xml:space="preserve">Authors: </w:t>
      </w:r>
      <w:r w:rsidRPr="00041197">
        <w:rPr>
          <w:rFonts w:ascii="Helvetica" w:hAnsi="Helvetica" w:cs="Helvetica"/>
          <w:bCs/>
          <w:shd w:val="clear" w:color="auto" w:fill="FFFFFF"/>
        </w:rPr>
        <w:t>Adrienne Davis, PharmD; Jeffery Reichard, PharmD, MS, BCOP; Macary Marciniak, PharmD, BCACP, BCPS, FAPhA; Laura Rhodes, PharmD, BCACP</w:t>
      </w:r>
    </w:p>
    <w:p w14:paraId="3408EB99" w14:textId="77777777" w:rsidR="006E5F4E" w:rsidRPr="00041197" w:rsidRDefault="006E5F4E">
      <w:pPr>
        <w:rPr>
          <w:rFonts w:ascii="Helvetica" w:hAnsi="Helvetica" w:cs="Helvetica"/>
          <w:b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 xml:space="preserve">Practice Site: </w:t>
      </w:r>
      <w:r w:rsidRPr="00041197">
        <w:rPr>
          <w:rFonts w:ascii="Helvetica" w:hAnsi="Helvetica" w:cs="Helvetica"/>
          <w:bCs/>
          <w:shd w:val="clear" w:color="auto" w:fill="FFFFFF"/>
        </w:rPr>
        <w:t>UNC Eshelman School of Pharmacy; UNC Shared Services Center Pharmacy – Durham, NC</w:t>
      </w:r>
    </w:p>
    <w:p w14:paraId="55430FA4" w14:textId="18CB5817" w:rsidR="006E5F4E" w:rsidRPr="00041197" w:rsidRDefault="006E5F4E">
      <w:pPr>
        <w:rPr>
          <w:rFonts w:ascii="Helvetica" w:hAnsi="Helvetica" w:cs="Helvetica"/>
          <w:b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 xml:space="preserve">Background: </w:t>
      </w:r>
      <w:r w:rsidRPr="00041197">
        <w:rPr>
          <w:rFonts w:ascii="Helvetica" w:hAnsi="Helvetica" w:cs="Helvetica"/>
          <w:shd w:val="clear" w:color="auto" w:fill="FFFFFF"/>
        </w:rPr>
        <w:t>At a specialty pharmacy, there are clinical services provided to assess adherence, tolerability and effectiveness of specialty medications to ensure quality health care that meets accreditation standard</w:t>
      </w:r>
      <w:r w:rsidR="00C43461" w:rsidRPr="00041197">
        <w:rPr>
          <w:rFonts w:ascii="Helvetica" w:hAnsi="Helvetica" w:cs="Helvetica"/>
          <w:shd w:val="clear" w:color="auto" w:fill="FFFFFF"/>
        </w:rPr>
        <w:t xml:space="preserve">s. A specialty pharmacy </w:t>
      </w:r>
      <w:r w:rsidRPr="00041197">
        <w:rPr>
          <w:rFonts w:ascii="Helvetica" w:hAnsi="Helvetica" w:cs="Helvetica"/>
          <w:shd w:val="clear" w:color="auto" w:fill="FFFFFF"/>
        </w:rPr>
        <w:t>affiliated with a health system has an opportunity to provide similar cli</w:t>
      </w:r>
      <w:r w:rsidR="00C43461" w:rsidRPr="00041197">
        <w:rPr>
          <w:rFonts w:ascii="Helvetica" w:hAnsi="Helvetica" w:cs="Helvetica"/>
          <w:shd w:val="clear" w:color="auto" w:fill="FFFFFF"/>
        </w:rPr>
        <w:t>nical services for patients prescribed non-specialty medications for</w:t>
      </w:r>
      <w:r w:rsidRPr="00041197">
        <w:rPr>
          <w:rFonts w:ascii="Helvetica" w:hAnsi="Helvetica" w:cs="Helvetica"/>
          <w:shd w:val="clear" w:color="auto" w:fill="FFFFFF"/>
        </w:rPr>
        <w:t xml:space="preserve"> better manage</w:t>
      </w:r>
      <w:r w:rsidR="00C43461" w:rsidRPr="00041197">
        <w:rPr>
          <w:rFonts w:ascii="Helvetica" w:hAnsi="Helvetica" w:cs="Helvetica"/>
          <w:shd w:val="clear" w:color="auto" w:fill="FFFFFF"/>
        </w:rPr>
        <w:t>ment of their</w:t>
      </w:r>
      <w:r w:rsidRPr="00041197">
        <w:rPr>
          <w:rFonts w:ascii="Helvetica" w:hAnsi="Helvetica" w:cs="Helvetica"/>
          <w:shd w:val="clear" w:color="auto" w:fill="FFFFFF"/>
        </w:rPr>
        <w:t xml:space="preserve"> comorbid chronic diseases.</w:t>
      </w:r>
    </w:p>
    <w:p w14:paraId="08BBF63A" w14:textId="77777777" w:rsidR="006E5F4E" w:rsidRPr="00041197" w:rsidRDefault="006E5F4E">
      <w:pPr>
        <w:rPr>
          <w:rFonts w:ascii="Helvetica" w:hAnsi="Helvetica" w:cs="Helvetica"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 xml:space="preserve">Objective: </w:t>
      </w:r>
      <w:r w:rsidRPr="00041197">
        <w:rPr>
          <w:rFonts w:ascii="Helvetica" w:hAnsi="Helvetica" w:cs="Helvetica"/>
          <w:shd w:val="clear" w:color="auto" w:fill="FFFFFF"/>
        </w:rPr>
        <w:t>To pilot a medication therapy management (MTM) program at a specialty pharmacy that targets patients who are either non-adherent or most susceptible to non-adherence to their diabetes-related medications.</w:t>
      </w:r>
    </w:p>
    <w:p w14:paraId="2DE1B4E9" w14:textId="6F0DA611" w:rsidR="006E5F4E" w:rsidRPr="00041197" w:rsidRDefault="006E5F4E">
      <w:pPr>
        <w:rPr>
          <w:rFonts w:ascii="Helvetica" w:hAnsi="Helvetica" w:cs="Helvetica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 xml:space="preserve">Methods: </w:t>
      </w:r>
      <w:r w:rsidR="00C43461" w:rsidRPr="00041197">
        <w:rPr>
          <w:rFonts w:ascii="Helvetica" w:hAnsi="Helvetica" w:cs="Helvetica"/>
        </w:rPr>
        <w:t>This</w:t>
      </w:r>
      <w:r w:rsidR="002066B0" w:rsidRPr="00041197">
        <w:rPr>
          <w:rFonts w:ascii="Helvetica" w:hAnsi="Helvetica" w:cs="Helvetica"/>
        </w:rPr>
        <w:t xml:space="preserve"> prospective cohort study was conducted at an integrated health-system outpatient specialty and home delivery pharmacy. </w:t>
      </w:r>
      <w:r w:rsidR="007E5F5E" w:rsidRPr="00041197">
        <w:rPr>
          <w:rFonts w:ascii="Helvetica" w:hAnsi="Helvetica" w:cs="Helvetica"/>
        </w:rPr>
        <w:t xml:space="preserve">The MTM process </w:t>
      </w:r>
      <w:r w:rsidR="007E5F5E" w:rsidRPr="00041197">
        <w:rPr>
          <w:rFonts w:ascii="Helvetica" w:hAnsi="Helvetica" w:cs="Helvetica"/>
        </w:rPr>
        <w:t>consist</w:t>
      </w:r>
      <w:r w:rsidR="007E5F5E" w:rsidRPr="00041197">
        <w:rPr>
          <w:rFonts w:ascii="Helvetica" w:hAnsi="Helvetica" w:cs="Helvetica"/>
        </w:rPr>
        <w:t>ed</w:t>
      </w:r>
      <w:r w:rsidR="007E5F5E" w:rsidRPr="00041197">
        <w:rPr>
          <w:rFonts w:ascii="Helvetica" w:hAnsi="Helvetica" w:cs="Helvetica"/>
        </w:rPr>
        <w:t xml:space="preserve"> of two steps: Pre-Assessment </w:t>
      </w:r>
      <w:r w:rsidR="00C43461" w:rsidRPr="00041197">
        <w:rPr>
          <w:rFonts w:ascii="Helvetica" w:hAnsi="Helvetica" w:cs="Helvetica"/>
        </w:rPr>
        <w:t xml:space="preserve">via electronic health record (EHR) reviews </w:t>
      </w:r>
      <w:r w:rsidR="007E5F5E" w:rsidRPr="00041197">
        <w:rPr>
          <w:rFonts w:ascii="Helvetica" w:hAnsi="Helvetica" w:cs="Helvetica"/>
        </w:rPr>
        <w:t>and Telephone Assessment Consultation</w:t>
      </w:r>
      <w:r w:rsidR="00C43461" w:rsidRPr="00041197">
        <w:rPr>
          <w:rFonts w:ascii="Helvetica" w:hAnsi="Helvetica" w:cs="Helvetica"/>
        </w:rPr>
        <w:t>s</w:t>
      </w:r>
      <w:r w:rsidR="007E5F5E" w:rsidRPr="00041197">
        <w:rPr>
          <w:rFonts w:ascii="Helvetica" w:hAnsi="Helvetica" w:cs="Helvetica"/>
        </w:rPr>
        <w:t xml:space="preserve">. </w:t>
      </w:r>
      <w:r w:rsidR="002066B0" w:rsidRPr="00041197">
        <w:rPr>
          <w:rFonts w:ascii="Helvetica" w:hAnsi="Helvetica" w:cs="Helvetica"/>
        </w:rPr>
        <w:t xml:space="preserve">The inclusion criteria are age ≥18 years, received at least one non-insulin diabetic medication from January 1, 2021, to December 31, 2021 from UNC SSC Pharmacy, and has an active Medicare Part D insurance plan. Patients also had to have received a Diabetes PDC score of less than 80% </w:t>
      </w:r>
      <w:r w:rsidR="00C43461" w:rsidRPr="00041197">
        <w:rPr>
          <w:rFonts w:ascii="Helvetica" w:hAnsi="Helvetica" w:cs="Helvetica"/>
        </w:rPr>
        <w:t xml:space="preserve">(Diabetes Group) </w:t>
      </w:r>
      <w:r w:rsidR="002066B0" w:rsidRPr="00041197">
        <w:rPr>
          <w:rFonts w:ascii="Helvetica" w:hAnsi="Helvetica" w:cs="Helvetica"/>
          <w:bCs/>
        </w:rPr>
        <w:t>or</w:t>
      </w:r>
      <w:r w:rsidR="002066B0" w:rsidRPr="00041197">
        <w:rPr>
          <w:rFonts w:ascii="Helvetica" w:hAnsi="Helvetica" w:cs="Helvetica"/>
        </w:rPr>
        <w:t xml:space="preserve"> a SUPD score of less than 80% </w:t>
      </w:r>
      <w:r w:rsidR="00C43461" w:rsidRPr="00041197">
        <w:rPr>
          <w:rFonts w:ascii="Helvetica" w:hAnsi="Helvetica" w:cs="Helvetica"/>
        </w:rPr>
        <w:t xml:space="preserve">(SUPD Group) </w:t>
      </w:r>
      <w:r w:rsidR="002066B0" w:rsidRPr="00041197">
        <w:rPr>
          <w:rFonts w:ascii="Helvetica" w:hAnsi="Helvetica" w:cs="Helvetica"/>
        </w:rPr>
        <w:t xml:space="preserve">according to the UNC SSC Pharmacy’s January 2022 ratings. Exclusion criteria are patients with type 1 diabetes, patients taking any form of insulin, or pregnant women with gestational diabetes. </w:t>
      </w:r>
      <w:r w:rsidR="002066B0" w:rsidRPr="00041197">
        <w:rPr>
          <w:rFonts w:ascii="Helvetica" w:hAnsi="Helvetica" w:cs="Helvetica"/>
          <w:shd w:val="clear" w:color="auto" w:fill="FFFFFF"/>
        </w:rPr>
        <w:t xml:space="preserve">The primary endpoint is the number of drug therapy problems identified according to the PQA Medication Therapy Problem categories framework. </w:t>
      </w:r>
      <w:r w:rsidR="00F52262" w:rsidRPr="00041197">
        <w:rPr>
          <w:rFonts w:ascii="Helvetica" w:hAnsi="Helvetica" w:cs="Helvetica"/>
        </w:rPr>
        <w:t xml:space="preserve">Secondary endpoints will include the percentage of patients willing to participate in the MTM service and average length of MTM pre-assessment and assessment work-up. </w:t>
      </w:r>
      <w:r w:rsidR="007E5F5E" w:rsidRPr="00041197">
        <w:rPr>
          <w:rFonts w:ascii="Helvetica" w:hAnsi="Helvetica" w:cs="Helvetica"/>
          <w:shd w:val="clear" w:color="auto" w:fill="FFFFFF"/>
        </w:rPr>
        <w:t>Descriptive statistics were</w:t>
      </w:r>
      <w:r w:rsidR="002066B0" w:rsidRPr="00041197">
        <w:rPr>
          <w:rFonts w:ascii="Helvetica" w:hAnsi="Helvetica" w:cs="Helvetica"/>
          <w:shd w:val="clear" w:color="auto" w:fill="FFFFFF"/>
        </w:rPr>
        <w:t xml:space="preserve"> </w:t>
      </w:r>
      <w:r w:rsidR="00C43461" w:rsidRPr="00041197">
        <w:rPr>
          <w:rFonts w:ascii="Helvetica" w:hAnsi="Helvetica" w:cs="Helvetica"/>
          <w:shd w:val="clear" w:color="auto" w:fill="FFFFFF"/>
        </w:rPr>
        <w:t xml:space="preserve">used to analyze the demographic, primary and secondary endpoints. </w:t>
      </w:r>
    </w:p>
    <w:p w14:paraId="46E61E12" w14:textId="0BB432CC" w:rsidR="006E5F4E" w:rsidRPr="00041197" w:rsidRDefault="006E5F4E">
      <w:pPr>
        <w:rPr>
          <w:rFonts w:ascii="Helvetica" w:hAnsi="Helvetica" w:cs="Helvetica"/>
          <w:b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>Results</w:t>
      </w:r>
      <w:r w:rsidRPr="00041197">
        <w:rPr>
          <w:rFonts w:ascii="Helvetica" w:hAnsi="Helvetica" w:cs="Helvetica"/>
          <w:bCs/>
          <w:shd w:val="clear" w:color="auto" w:fill="FFFFFF"/>
        </w:rPr>
        <w:t>:</w:t>
      </w:r>
      <w:r w:rsidR="000C334C" w:rsidRPr="00041197">
        <w:rPr>
          <w:rFonts w:ascii="Helvetica" w:hAnsi="Helvetica" w:cs="Helvetica"/>
          <w:bCs/>
          <w:shd w:val="clear" w:color="auto" w:fill="FFFFFF"/>
        </w:rPr>
        <w:t xml:space="preserve"> 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A total of 39 patients were identified </w:t>
      </w:r>
      <w:r w:rsidR="007E5F5E" w:rsidRPr="00041197">
        <w:rPr>
          <w:rFonts w:ascii="Helvetica" w:hAnsi="Helvetica" w:cs="Helvetica"/>
          <w:bCs/>
          <w:shd w:val="clear" w:color="auto" w:fill="FFFFFF"/>
        </w:rPr>
        <w:t xml:space="preserve">to </w:t>
      </w:r>
      <w:r w:rsidR="007A07DC" w:rsidRPr="00041197">
        <w:rPr>
          <w:rFonts w:ascii="Helvetica" w:hAnsi="Helvetica" w:cs="Helvetica"/>
          <w:bCs/>
          <w:shd w:val="clear" w:color="auto" w:fill="FFFFFF"/>
        </w:rPr>
        <w:t>participate in the study. During the pre-assessment chart review, only 14 patients qualified for the MTM program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 - 9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 patients within the Diabete</w:t>
      </w:r>
      <w:r w:rsidR="007E5F5E" w:rsidRPr="00041197">
        <w:rPr>
          <w:rFonts w:ascii="Helvetica" w:hAnsi="Helvetica" w:cs="Helvetica"/>
          <w:bCs/>
          <w:shd w:val="clear" w:color="auto" w:fill="FFFFFF"/>
        </w:rPr>
        <w:t>s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 </w:t>
      </w:r>
      <w:r w:rsidR="00041197">
        <w:rPr>
          <w:rFonts w:ascii="Helvetica" w:hAnsi="Helvetica" w:cs="Helvetica"/>
          <w:bCs/>
          <w:shd w:val="clear" w:color="auto" w:fill="FFFFFF"/>
        </w:rPr>
        <w:t>G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roup 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and 5 patients in the </w:t>
      </w:r>
      <w:r w:rsidR="007E5F5E" w:rsidRPr="00041197">
        <w:rPr>
          <w:rFonts w:ascii="Helvetica" w:hAnsi="Helvetica" w:cs="Helvetica"/>
          <w:bCs/>
          <w:shd w:val="clear" w:color="auto" w:fill="FFFFFF"/>
        </w:rPr>
        <w:t>SUPD</w:t>
      </w:r>
      <w:r w:rsidR="00041197">
        <w:rPr>
          <w:rFonts w:ascii="Helvetica" w:hAnsi="Helvetica" w:cs="Helvetica"/>
          <w:bCs/>
          <w:shd w:val="clear" w:color="auto" w:fill="FFFFFF"/>
        </w:rPr>
        <w:t xml:space="preserve"> G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roup. In regards to the </w:t>
      </w:r>
      <w:r w:rsidR="00041197">
        <w:rPr>
          <w:rFonts w:ascii="Helvetica" w:hAnsi="Helvetica" w:cs="Helvetica"/>
          <w:bCs/>
          <w:shd w:val="clear" w:color="auto" w:fill="FFFFFF"/>
        </w:rPr>
        <w:t xml:space="preserve">telephone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assessment call, </w:t>
      </w:r>
      <w:r w:rsidR="00041197">
        <w:rPr>
          <w:rFonts w:ascii="Helvetica" w:hAnsi="Helvetica" w:cs="Helvetica"/>
          <w:bCs/>
          <w:shd w:val="clear" w:color="auto" w:fill="FFFFFF"/>
        </w:rPr>
        <w:t>4 out of 9 patients (</w:t>
      </w:r>
      <w:r w:rsidR="00456F77" w:rsidRPr="00041197">
        <w:rPr>
          <w:rFonts w:ascii="Helvetica" w:hAnsi="Helvetica" w:cs="Helvetica"/>
          <w:bCs/>
          <w:shd w:val="clear" w:color="auto" w:fill="FFFFFF"/>
        </w:rPr>
        <w:t>44%</w:t>
      </w:r>
      <w:r w:rsidR="00041197">
        <w:rPr>
          <w:rFonts w:ascii="Helvetica" w:hAnsi="Helvetica" w:cs="Helvetica"/>
          <w:bCs/>
          <w:shd w:val="clear" w:color="auto" w:fill="FFFFFF"/>
        </w:rPr>
        <w:t xml:space="preserve">)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and </w:t>
      </w:r>
      <w:r w:rsidR="00041197">
        <w:rPr>
          <w:rFonts w:ascii="Helvetica" w:hAnsi="Helvetica" w:cs="Helvetica"/>
          <w:bCs/>
          <w:shd w:val="clear" w:color="auto" w:fill="FFFFFF"/>
        </w:rPr>
        <w:t>4 out of 5 patients (</w:t>
      </w:r>
      <w:r w:rsidR="00456F77" w:rsidRPr="00041197">
        <w:rPr>
          <w:rFonts w:ascii="Helvetica" w:hAnsi="Helvetica" w:cs="Helvetica"/>
          <w:bCs/>
          <w:shd w:val="clear" w:color="auto" w:fill="FFFFFF"/>
        </w:rPr>
        <w:t>80%</w:t>
      </w:r>
      <w:r w:rsidR="00041197">
        <w:rPr>
          <w:rFonts w:ascii="Helvetica" w:hAnsi="Helvetica" w:cs="Helvetica"/>
          <w:bCs/>
          <w:shd w:val="clear" w:color="auto" w:fill="FFFFFF"/>
        </w:rPr>
        <w:t>)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 partici</w:t>
      </w:r>
      <w:r w:rsidR="00041197">
        <w:rPr>
          <w:rFonts w:ascii="Helvetica" w:hAnsi="Helvetica" w:cs="Helvetica"/>
          <w:bCs/>
          <w:shd w:val="clear" w:color="auto" w:fill="FFFFFF"/>
        </w:rPr>
        <w:t>pated for the Diabetes and SUPD G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roups respectively. </w:t>
      </w:r>
      <w:r w:rsidR="007A07DC" w:rsidRPr="00041197">
        <w:rPr>
          <w:rFonts w:ascii="Helvetica" w:hAnsi="Helvetica" w:cs="Helvetica"/>
          <w:bCs/>
          <w:shd w:val="clear" w:color="auto" w:fill="FFFFFF"/>
        </w:rPr>
        <w:t>For the primary endpoint</w:t>
      </w:r>
      <w:r w:rsidR="00041197">
        <w:rPr>
          <w:rFonts w:ascii="Helvetica" w:hAnsi="Helvetica" w:cs="Helvetica"/>
          <w:bCs/>
          <w:shd w:val="clear" w:color="auto" w:fill="FFFFFF"/>
        </w:rPr>
        <w:t xml:space="preserve"> for both groups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, there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>were two</w:t>
      </w:r>
      <w:r w:rsidR="007A07DC" w:rsidRPr="00041197">
        <w:rPr>
          <w:rFonts w:ascii="Helvetica" w:hAnsi="Helvetica" w:cs="Helvetica"/>
          <w:bCs/>
          <w:shd w:val="clear" w:color="auto" w:fill="FFFFFF"/>
        </w:rPr>
        <w:t xml:space="preserve"> medi</w:t>
      </w:r>
      <w:r w:rsidR="00F707A2">
        <w:rPr>
          <w:rFonts w:ascii="Helvetica" w:hAnsi="Helvetica" w:cs="Helvetica"/>
          <w:bCs/>
          <w:shd w:val="clear" w:color="auto" w:fill="FFFFFF"/>
        </w:rPr>
        <w:t>cation therapy problems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 </w:t>
      </w:r>
      <w:r w:rsidR="00F707A2">
        <w:rPr>
          <w:rFonts w:ascii="Helvetica" w:hAnsi="Helvetica" w:cs="Helvetica"/>
          <w:bCs/>
          <w:shd w:val="clear" w:color="auto" w:fill="FFFFFF"/>
        </w:rPr>
        <w:t xml:space="preserve">(MTPs)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>and one intervention successfully implemented by either the patient or the provider.</w:t>
      </w:r>
      <w:r w:rsidR="00456F77" w:rsidRPr="00041197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The most common </w:t>
      </w:r>
      <w:r w:rsidR="00F707A2">
        <w:rPr>
          <w:rFonts w:ascii="Helvetica" w:hAnsi="Helvetica" w:cs="Helvetica"/>
          <w:bCs/>
          <w:shd w:val="clear" w:color="auto" w:fill="FFFFFF"/>
        </w:rPr>
        <w:t xml:space="preserve">MTP rationale for </w:t>
      </w:r>
      <w:r w:rsidR="00456F77" w:rsidRPr="00041197">
        <w:rPr>
          <w:rFonts w:ascii="Helvetica" w:hAnsi="Helvetica" w:cs="Helvetica"/>
          <w:bCs/>
          <w:shd w:val="clear" w:color="auto" w:fill="FFFFFF"/>
        </w:rPr>
        <w:t xml:space="preserve">non-adherence was ‘patient prefers not to take’. All interventions were documented in the patient’s </w:t>
      </w:r>
      <w:r w:rsidR="00041197">
        <w:rPr>
          <w:rFonts w:ascii="Helvetica" w:hAnsi="Helvetica" w:cs="Helvetica"/>
          <w:bCs/>
          <w:shd w:val="clear" w:color="auto" w:fill="FFFFFF"/>
        </w:rPr>
        <w:t>EHR</w:t>
      </w:r>
      <w:r w:rsidR="00456F77" w:rsidRPr="00041197">
        <w:rPr>
          <w:rFonts w:ascii="Helvetica" w:hAnsi="Helvetica" w:cs="Helvetica"/>
          <w:bCs/>
          <w:shd w:val="clear" w:color="auto" w:fill="FFFFFF"/>
        </w:rPr>
        <w:t>.</w:t>
      </w:r>
      <w:r w:rsidR="00456F77" w:rsidRPr="00041197">
        <w:rPr>
          <w:rFonts w:ascii="Helvetica" w:hAnsi="Helvetica" w:cs="Helvetica"/>
          <w:b/>
          <w:bCs/>
          <w:shd w:val="clear" w:color="auto" w:fill="FFFFFF"/>
        </w:rPr>
        <w:t xml:space="preserve"> </w:t>
      </w:r>
    </w:p>
    <w:p w14:paraId="65BC9B14" w14:textId="614224A4" w:rsidR="00000000" w:rsidRPr="00041197" w:rsidRDefault="006E5F4E" w:rsidP="007E5F5E">
      <w:pPr>
        <w:rPr>
          <w:rFonts w:ascii="Helvetica" w:hAnsi="Helvetica" w:cs="Helvetica"/>
          <w:bCs/>
          <w:shd w:val="clear" w:color="auto" w:fill="FFFFFF"/>
        </w:rPr>
      </w:pPr>
      <w:r w:rsidRPr="00041197">
        <w:rPr>
          <w:rFonts w:ascii="Helvetica" w:hAnsi="Helvetica" w:cs="Helvetica"/>
          <w:b/>
          <w:bCs/>
          <w:shd w:val="clear" w:color="auto" w:fill="FFFFFF"/>
        </w:rPr>
        <w:t>Conclusion:</w:t>
      </w:r>
      <w:r w:rsidR="00456F77" w:rsidRPr="00041197">
        <w:rPr>
          <w:rFonts w:ascii="Helvetica" w:hAnsi="Helvetica" w:cs="Helvetica"/>
          <w:b/>
          <w:bCs/>
          <w:shd w:val="clear" w:color="auto" w:fill="FFFFFF"/>
        </w:rPr>
        <w:t xml:space="preserve"> </w:t>
      </w:r>
      <w:r w:rsidR="007E5F5E" w:rsidRPr="00041197">
        <w:rPr>
          <w:rFonts w:ascii="Helvetica" w:hAnsi="Helvetica" w:cs="Helvetica"/>
          <w:bCs/>
          <w:shd w:val="clear" w:color="auto" w:fill="FFFFFF"/>
        </w:rPr>
        <w:t xml:space="preserve">The </w:t>
      </w:r>
      <w:r w:rsidR="00F707A2" w:rsidRPr="00041197">
        <w:rPr>
          <w:rFonts w:ascii="Helvetica" w:hAnsi="Helvetica" w:cs="Helvetica"/>
          <w:bCs/>
          <w:shd w:val="clear" w:color="auto" w:fill="FFFFFF"/>
        </w:rPr>
        <w:t>MTM program at UNC SSC Pharmacy successfully identified and address</w:t>
      </w:r>
      <w:r w:rsidR="007E5F5E" w:rsidRPr="00041197">
        <w:rPr>
          <w:rFonts w:ascii="Helvetica" w:hAnsi="Helvetica" w:cs="Helvetica"/>
          <w:bCs/>
          <w:shd w:val="clear" w:color="auto" w:fill="FFFFFF"/>
        </w:rPr>
        <w:t>ed</w:t>
      </w:r>
      <w:r w:rsidR="00F707A2" w:rsidRPr="00041197">
        <w:rPr>
          <w:rFonts w:ascii="Helvetica" w:hAnsi="Helvetica" w:cs="Helvetica"/>
          <w:bCs/>
          <w:shd w:val="clear" w:color="auto" w:fill="FFFFFF"/>
        </w:rPr>
        <w:t xml:space="preserve"> patients who could were non-adherent to diabetes related medications</w:t>
      </w:r>
      <w:r w:rsidR="00AC5AD2" w:rsidRPr="00041197">
        <w:rPr>
          <w:rFonts w:ascii="Helvetica" w:hAnsi="Helvetica" w:cs="Helvetica"/>
          <w:bCs/>
          <w:shd w:val="clear" w:color="auto" w:fill="FFFFFF"/>
        </w:rPr>
        <w:t>. Utilizing</w:t>
      </w:r>
      <w:r w:rsidR="00F21BE3" w:rsidRPr="00041197">
        <w:rPr>
          <w:rFonts w:ascii="Helvetica" w:hAnsi="Helvetica" w:cs="Helvetica"/>
          <w:bCs/>
          <w:shd w:val="clear" w:color="auto" w:fill="FFFFFF"/>
        </w:rPr>
        <w:t xml:space="preserve"> the shared electronic health record to document </w:t>
      </w:r>
      <w:r w:rsidR="00AC5AD2" w:rsidRPr="00041197">
        <w:rPr>
          <w:rFonts w:ascii="Helvetica" w:hAnsi="Helvetica" w:cs="Helvetica"/>
          <w:bCs/>
          <w:shd w:val="clear" w:color="auto" w:fill="FFFFFF"/>
        </w:rPr>
        <w:t xml:space="preserve">interventions allowed for seamless integration into the pharmacy’s workflow and ensured information transparency with healthcare providers. </w:t>
      </w:r>
      <w:bookmarkStart w:id="0" w:name="_GoBack"/>
      <w:bookmarkEnd w:id="0"/>
    </w:p>
    <w:p w14:paraId="6C1159D6" w14:textId="03DA1E37" w:rsidR="006E5F4E" w:rsidRDefault="006E5F4E"/>
    <w:sectPr w:rsidR="006E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24DB"/>
    <w:multiLevelType w:val="hybridMultilevel"/>
    <w:tmpl w:val="2B6E85A0"/>
    <w:lvl w:ilvl="0" w:tplc="D7BCC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864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AC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66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8B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EC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466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CF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05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8B9"/>
    <w:multiLevelType w:val="hybridMultilevel"/>
    <w:tmpl w:val="703E772A"/>
    <w:lvl w:ilvl="0" w:tplc="F7A4D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AFD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CF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E41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8E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EF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A8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8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A30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E"/>
    <w:rsid w:val="00041197"/>
    <w:rsid w:val="000C334C"/>
    <w:rsid w:val="002066B0"/>
    <w:rsid w:val="00270B02"/>
    <w:rsid w:val="00456F77"/>
    <w:rsid w:val="006E5F4E"/>
    <w:rsid w:val="00773D68"/>
    <w:rsid w:val="007A07DC"/>
    <w:rsid w:val="007E5F5E"/>
    <w:rsid w:val="00A4698F"/>
    <w:rsid w:val="00AC5AD2"/>
    <w:rsid w:val="00C43461"/>
    <w:rsid w:val="00C65C8A"/>
    <w:rsid w:val="00F21BE3"/>
    <w:rsid w:val="00F52262"/>
    <w:rsid w:val="00F7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0D78"/>
  <w15:chartTrackingRefBased/>
  <w15:docId w15:val="{21B74F10-03DF-4040-AEDD-3221847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2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0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9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343596D6AA9459776550E62B44026" ma:contentTypeVersion="11" ma:contentTypeDescription="Create a new document." ma:contentTypeScope="" ma:versionID="0c68f5f6a417b80ee725d054bb638881">
  <xsd:schema xmlns:xsd="http://www.w3.org/2001/XMLSchema" xmlns:xs="http://www.w3.org/2001/XMLSchema" xmlns:p="http://schemas.microsoft.com/office/2006/metadata/properties" xmlns:ns3="6444e8d0-c4c8-40ea-accf-3d69ca421cf6" xmlns:ns4="4ba9785c-0bb8-444b-b246-7744da6ea675" targetNamespace="http://schemas.microsoft.com/office/2006/metadata/properties" ma:root="true" ma:fieldsID="70ef6c2f7a1a836c32c43b739086d291" ns3:_="" ns4:_="">
    <xsd:import namespace="6444e8d0-c4c8-40ea-accf-3d69ca421cf6"/>
    <xsd:import namespace="4ba9785c-0bb8-444b-b246-7744da6ea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4e8d0-c4c8-40ea-accf-3d69ca421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785c-0bb8-444b-b246-7744da6ea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871A9-BE38-4ECB-A11C-970FE0F14511}">
  <ds:schemaRefs>
    <ds:schemaRef ds:uri="http://schemas.microsoft.com/office/2006/documentManagement/types"/>
    <ds:schemaRef ds:uri="http://purl.org/dc/terms/"/>
    <ds:schemaRef ds:uri="4ba9785c-0bb8-444b-b246-7744da6ea675"/>
    <ds:schemaRef ds:uri="http://purl.org/dc/dcmitype/"/>
    <ds:schemaRef ds:uri="http://schemas.microsoft.com/office/infopath/2007/PartnerControls"/>
    <ds:schemaRef ds:uri="6444e8d0-c4c8-40ea-accf-3d69ca421cf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1EB5D2-45C9-436F-B459-7EE42DE99A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7238D-8AD3-469F-A6C9-1BCCF33B5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4e8d0-c4c8-40ea-accf-3d69ca421cf6"/>
    <ds:schemaRef ds:uri="4ba9785c-0bb8-444b-b246-7744da6ea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Adrienne</dc:creator>
  <cp:keywords/>
  <dc:description/>
  <cp:lastModifiedBy>Davis, Adrienne</cp:lastModifiedBy>
  <cp:revision>4</cp:revision>
  <dcterms:created xsi:type="dcterms:W3CDTF">2022-05-02T13:05:00Z</dcterms:created>
  <dcterms:modified xsi:type="dcterms:W3CDTF">2022-05-07T02:29:00Z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0x0101001DD343596D6AA9459776550E62B44026</vt:lpwstr>
  </property>
</Properties>
</file>