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69C2" w14:textId="21DC71A8" w:rsidR="00287F95" w:rsidRDefault="00287F95" w:rsidP="00287F9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7F95">
        <w:rPr>
          <w:rFonts w:ascii="Times New Roman" w:eastAsia="Times New Roman" w:hAnsi="Times New Roman" w:cs="Times New Roman"/>
          <w:b/>
          <w:sz w:val="20"/>
          <w:szCs w:val="20"/>
        </w:rPr>
        <w:t>The Effectiveness of Intravenous Vitamin K in Correcting Shock Liver-Associated Coagulopathy</w:t>
      </w:r>
    </w:p>
    <w:p w14:paraId="2100F335" w14:textId="77777777" w:rsidR="00AC01D9" w:rsidRPr="00287F95" w:rsidRDefault="00AC01D9" w:rsidP="00287F9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5804E4D6" w:rsidR="0031577C" w:rsidRPr="000F1652" w:rsidRDefault="00EF5878">
      <w:pPr>
        <w:rPr>
          <w:rFonts w:ascii="Times New Roman" w:eastAsia="Times New Roman" w:hAnsi="Times New Roman" w:cs="Times New Roman"/>
          <w:sz w:val="20"/>
          <w:szCs w:val="20"/>
        </w:rPr>
      </w:pPr>
      <w:r w:rsidRPr="000F1652">
        <w:rPr>
          <w:rFonts w:ascii="Times New Roman" w:eastAsia="Times New Roman" w:hAnsi="Times New Roman" w:cs="Times New Roman"/>
          <w:b/>
          <w:sz w:val="20"/>
          <w:szCs w:val="20"/>
        </w:rPr>
        <w:t>Author</w:t>
      </w:r>
      <w:r w:rsidR="00AC01D9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2F4A3A" w:rsidRPr="000F1652">
        <w:rPr>
          <w:rFonts w:ascii="Times New Roman" w:eastAsia="Times New Roman" w:hAnsi="Times New Roman" w:cs="Times New Roman"/>
          <w:sz w:val="20"/>
          <w:szCs w:val="20"/>
        </w:rPr>
        <w:t>Jane Chu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>, PharmD</w:t>
      </w:r>
      <w:r w:rsidR="003575C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B3422" w:rsidRPr="000F1652">
        <w:rPr>
          <w:rFonts w:ascii="Times New Roman" w:eastAsia="Times New Roman" w:hAnsi="Times New Roman" w:cs="Times New Roman"/>
          <w:sz w:val="20"/>
          <w:szCs w:val="20"/>
        </w:rPr>
        <w:t>Rebecca Jones, PharmD, BCPS</w:t>
      </w:r>
      <w:r w:rsidR="00AB3422">
        <w:rPr>
          <w:rFonts w:ascii="Times New Roman" w:eastAsia="Times New Roman" w:hAnsi="Times New Roman" w:cs="Times New Roman"/>
          <w:sz w:val="20"/>
          <w:szCs w:val="20"/>
        </w:rPr>
        <w:t>;</w:t>
      </w:r>
      <w:r w:rsidR="002F4A3A" w:rsidRPr="000F16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0C70" w:rsidRPr="000F1652">
        <w:rPr>
          <w:rFonts w:ascii="Times New Roman" w:eastAsia="Times New Roman" w:hAnsi="Times New Roman" w:cs="Times New Roman"/>
          <w:sz w:val="20"/>
          <w:szCs w:val="20"/>
        </w:rPr>
        <w:t>Ginger Barrick, PharmD, BCPS, MSCR</w:t>
      </w:r>
      <w:r w:rsidR="00BB43D1" w:rsidRPr="000F1652">
        <w:rPr>
          <w:rFonts w:ascii="Times New Roman" w:eastAsia="Times New Roman" w:hAnsi="Times New Roman" w:cs="Times New Roman"/>
          <w:sz w:val="20"/>
          <w:szCs w:val="20"/>
        </w:rPr>
        <w:t>; W. Russell Laundon, PharmD, MS, BCPS</w:t>
      </w:r>
      <w:r w:rsidR="006F1C0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6F1C06" w:rsidRPr="000F1652">
        <w:rPr>
          <w:rFonts w:ascii="Times New Roman" w:eastAsia="Times New Roman" w:hAnsi="Times New Roman" w:cs="Times New Roman"/>
          <w:sz w:val="20"/>
          <w:szCs w:val="20"/>
        </w:rPr>
        <w:t>Debbie Liang, PharmD, BCCCP</w:t>
      </w:r>
    </w:p>
    <w:p w14:paraId="682899C1" w14:textId="77777777" w:rsidR="00BB028C" w:rsidRPr="000F1652" w:rsidRDefault="00BB02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19FDC1C" w:rsidR="0031577C" w:rsidRPr="00AC01D9" w:rsidRDefault="003E302D" w:rsidP="00AD523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F1652">
        <w:rPr>
          <w:rFonts w:ascii="Times New Roman" w:eastAsia="Times New Roman" w:hAnsi="Times New Roman" w:cs="Times New Roman"/>
          <w:b/>
          <w:sz w:val="20"/>
          <w:szCs w:val="20"/>
        </w:rPr>
        <w:t>Background:</w:t>
      </w:r>
      <w:r w:rsidR="0080286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B6474" w:rsidRPr="0080286E">
        <w:rPr>
          <w:rFonts w:ascii="Times New Roman" w:eastAsia="Times New Roman" w:hAnsi="Times New Roman" w:cs="Times New Roman"/>
          <w:bCs/>
          <w:sz w:val="20"/>
          <w:szCs w:val="20"/>
        </w:rPr>
        <w:t>Shock liver</w:t>
      </w:r>
      <w:r w:rsidR="005365B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6382B">
        <w:rPr>
          <w:rFonts w:ascii="Times New Roman" w:eastAsia="Times New Roman" w:hAnsi="Times New Roman" w:cs="Times New Roman"/>
          <w:bCs/>
          <w:sz w:val="20"/>
          <w:szCs w:val="20"/>
        </w:rPr>
        <w:t>is</w:t>
      </w:r>
      <w:r w:rsidR="001B6474" w:rsidRPr="0080286E">
        <w:rPr>
          <w:rFonts w:ascii="Times New Roman" w:eastAsia="Times New Roman" w:hAnsi="Times New Roman" w:cs="Times New Roman"/>
          <w:bCs/>
          <w:sz w:val="20"/>
          <w:szCs w:val="20"/>
        </w:rPr>
        <w:t xml:space="preserve"> diffuse hepatic injury resulting from acute hypoperfusion, congestion, or hypoxia.</w:t>
      </w:r>
      <w:r w:rsidR="00AB3422" w:rsidRPr="00AB3422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</w:t>
      </w:r>
      <w:r w:rsidR="001B6474" w:rsidRPr="008028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02CEB">
        <w:rPr>
          <w:rFonts w:ascii="Times New Roman" w:eastAsia="Times New Roman" w:hAnsi="Times New Roman" w:cs="Times New Roman"/>
          <w:bCs/>
          <w:sz w:val="20"/>
          <w:szCs w:val="20"/>
        </w:rPr>
        <w:t>Causes</w:t>
      </w:r>
      <w:r w:rsidR="001B6474" w:rsidRPr="0080286E">
        <w:rPr>
          <w:rFonts w:ascii="Times New Roman" w:eastAsia="Times New Roman" w:hAnsi="Times New Roman" w:cs="Times New Roman"/>
          <w:bCs/>
          <w:sz w:val="20"/>
          <w:szCs w:val="20"/>
        </w:rPr>
        <w:t xml:space="preserve"> of shock</w:t>
      </w:r>
      <w:r w:rsidR="0026382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>(</w:t>
      </w:r>
      <w:r w:rsidR="00202123" w:rsidRPr="002F2EE7">
        <w:rPr>
          <w:rFonts w:ascii="Times" w:eastAsia="Times New Roman" w:hAnsi="Times" w:cs="Times New Roman"/>
          <w:bCs/>
          <w:sz w:val="20"/>
          <w:szCs w:val="20"/>
        </w:rPr>
        <w:t>i.e.</w:t>
      </w:r>
      <w:r w:rsidR="00202123">
        <w:rPr>
          <w:rFonts w:ascii="Times" w:eastAsia="Times New Roman" w:hAnsi="Times" w:cs="Times New Roman"/>
          <w:bCs/>
          <w:sz w:val="20"/>
          <w:szCs w:val="20"/>
        </w:rPr>
        <w:t>,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DA1601">
        <w:rPr>
          <w:rFonts w:ascii="Times" w:eastAsia="Times New Roman" w:hAnsi="Times" w:cs="Times New Roman"/>
          <w:bCs/>
          <w:sz w:val="20"/>
          <w:szCs w:val="20"/>
        </w:rPr>
        <w:t>septic shock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5365B3" w:rsidRPr="002F2EE7">
        <w:rPr>
          <w:rFonts w:ascii="Times" w:eastAsia="Times New Roman" w:hAnsi="Times" w:cs="Times New Roman"/>
          <w:bCs/>
          <w:sz w:val="20"/>
          <w:szCs w:val="20"/>
        </w:rPr>
        <w:t xml:space="preserve">or 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 xml:space="preserve">hypoxic respiratory failure) </w:t>
      </w:r>
      <w:r w:rsidR="00202123">
        <w:rPr>
          <w:rFonts w:ascii="Times" w:eastAsia="Times New Roman" w:hAnsi="Times" w:cs="Times New Roman"/>
          <w:bCs/>
          <w:sz w:val="20"/>
          <w:szCs w:val="20"/>
        </w:rPr>
        <w:t xml:space="preserve">and blockage of blood supply (i.e., hepatic sickle cell crisis or hepatic artery thrombosis) 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>c</w:t>
      </w:r>
      <w:r w:rsidR="00202123">
        <w:rPr>
          <w:rFonts w:ascii="Times" w:eastAsia="Times New Roman" w:hAnsi="Times" w:cs="Times New Roman"/>
          <w:bCs/>
          <w:sz w:val="20"/>
          <w:szCs w:val="20"/>
        </w:rPr>
        <w:t>an cause ischemic liver injury.</w:t>
      </w:r>
      <w:r w:rsidR="002F2EE7" w:rsidRPr="002F2EE7">
        <w:rPr>
          <w:rFonts w:ascii="Times" w:hAnsi="Times" w:cs="Calibri"/>
          <w:sz w:val="20"/>
          <w:szCs w:val="20"/>
          <w:vertAlign w:val="superscript"/>
        </w:rPr>
        <w:t>2</w:t>
      </w:r>
      <w:r w:rsidR="002F2EE7" w:rsidRPr="002F2EE7">
        <w:rPr>
          <w:rFonts w:ascii="Times" w:hAnsi="Times" w:cs="Calibri"/>
          <w:color w:val="FF0000"/>
          <w:sz w:val="20"/>
          <w:szCs w:val="20"/>
        </w:rPr>
        <w:t xml:space="preserve"> </w:t>
      </w:r>
      <w:r w:rsidR="002F2EE7" w:rsidRPr="002F2EE7">
        <w:rPr>
          <w:rFonts w:ascii="Times" w:hAnsi="Times" w:cs="Calibri"/>
          <w:sz w:val="20"/>
          <w:szCs w:val="20"/>
        </w:rPr>
        <w:t>Patients with severe liver disease may be at higher risk of bleeding due to reduced synthesis of the procoagulant proteins.</w:t>
      </w:r>
      <w:r w:rsidR="002F2EE7" w:rsidRPr="002F2EE7">
        <w:rPr>
          <w:rFonts w:ascii="Times" w:hAnsi="Times" w:cs="Calibri"/>
          <w:sz w:val="20"/>
          <w:szCs w:val="20"/>
          <w:vertAlign w:val="superscript"/>
        </w:rPr>
        <w:t>3</w:t>
      </w:r>
      <w:r w:rsidR="002F2EE7" w:rsidRPr="002F2EE7">
        <w:rPr>
          <w:rFonts w:ascii="Times" w:hAnsi="Times" w:cs="Calibri"/>
          <w:sz w:val="20"/>
          <w:szCs w:val="20"/>
        </w:rPr>
        <w:t xml:space="preserve"> However, </w:t>
      </w:r>
      <w:r w:rsidR="009B013B">
        <w:rPr>
          <w:rFonts w:ascii="Times" w:hAnsi="Times" w:cs="Calibri"/>
          <w:sz w:val="20"/>
          <w:szCs w:val="20"/>
        </w:rPr>
        <w:t xml:space="preserve">recent </w:t>
      </w:r>
      <w:r w:rsidR="002F2EE7" w:rsidRPr="002F2EE7">
        <w:rPr>
          <w:rFonts w:ascii="Times" w:hAnsi="Times" w:cs="Calibri"/>
          <w:sz w:val="20"/>
          <w:szCs w:val="20"/>
        </w:rPr>
        <w:t>research in hemostasis has revealed patients with liver disease have compensatory factor production to counteract bleeding.</w:t>
      </w:r>
      <w:r w:rsidR="002F2EE7" w:rsidRPr="002F2EE7">
        <w:rPr>
          <w:rFonts w:ascii="Times" w:hAnsi="Times" w:cs="Calibri"/>
          <w:sz w:val="20"/>
          <w:szCs w:val="20"/>
          <w:vertAlign w:val="superscript"/>
        </w:rPr>
        <w:t xml:space="preserve">4 </w:t>
      </w:r>
      <w:r w:rsidR="002F2EE7" w:rsidRPr="002F2EE7">
        <w:rPr>
          <w:rFonts w:ascii="Times" w:hAnsi="Times" w:cs="Calibri"/>
          <w:sz w:val="20"/>
          <w:szCs w:val="20"/>
        </w:rPr>
        <w:t xml:space="preserve">Saja MF, et al found no significant improvement in the majority of coagulation parameters after vitamin K </w:t>
      </w:r>
      <w:r w:rsidR="00E11E1E">
        <w:rPr>
          <w:rFonts w:ascii="Times" w:hAnsi="Times" w:cs="Calibri"/>
          <w:sz w:val="20"/>
          <w:szCs w:val="20"/>
        </w:rPr>
        <w:t xml:space="preserve">10 mg subcutaneous </w:t>
      </w:r>
      <w:r w:rsidR="002F2EE7" w:rsidRPr="002F2EE7">
        <w:rPr>
          <w:rFonts w:ascii="Times" w:hAnsi="Times" w:cs="Calibri"/>
          <w:sz w:val="20"/>
          <w:szCs w:val="20"/>
        </w:rPr>
        <w:t>administration.</w:t>
      </w:r>
      <w:r w:rsidR="002F2EE7" w:rsidRPr="002F2EE7">
        <w:rPr>
          <w:rFonts w:ascii="Times" w:hAnsi="Times" w:cs="Calibri"/>
          <w:sz w:val="20"/>
          <w:szCs w:val="20"/>
          <w:vertAlign w:val="superscript"/>
        </w:rPr>
        <w:t>5</w:t>
      </w:r>
      <w:r w:rsidR="007209BE" w:rsidRPr="002F2EE7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 xml:space="preserve">Per the </w:t>
      </w:r>
      <w:r w:rsidR="005365B3" w:rsidRPr="002F2EE7">
        <w:rPr>
          <w:rFonts w:ascii="Times" w:eastAsia="Times New Roman" w:hAnsi="Times" w:cs="Times New Roman"/>
          <w:bCs/>
          <w:sz w:val="20"/>
          <w:szCs w:val="20"/>
        </w:rPr>
        <w:t xml:space="preserve">2019 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>American Gastroenterological Association</w:t>
      </w:r>
      <w:r w:rsidR="005365B3" w:rsidRPr="002F2EE7">
        <w:rPr>
          <w:rFonts w:ascii="Times" w:eastAsia="Times New Roman" w:hAnsi="Times" w:cs="Times New Roman"/>
          <w:bCs/>
          <w:sz w:val="20"/>
          <w:szCs w:val="20"/>
        </w:rPr>
        <w:t xml:space="preserve"> guidelines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>, absent an improvement in INR after a 1</w:t>
      </w:r>
      <w:r w:rsidR="007654EA">
        <w:rPr>
          <w:rFonts w:ascii="Times" w:eastAsia="Times New Roman" w:hAnsi="Times" w:cs="Times New Roman"/>
          <w:bCs/>
          <w:sz w:val="20"/>
          <w:szCs w:val="20"/>
        </w:rPr>
        <w:t xml:space="preserve">0 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>mg dose of vitamin K, repeated administration is unlikely to have benefits.</w:t>
      </w:r>
      <w:r w:rsidR="002F2EE7">
        <w:rPr>
          <w:rFonts w:ascii="Times" w:eastAsia="Times New Roman" w:hAnsi="Times" w:cs="Times New Roman"/>
          <w:bCs/>
          <w:sz w:val="20"/>
          <w:szCs w:val="20"/>
          <w:vertAlign w:val="superscript"/>
        </w:rPr>
        <w:t>6</w:t>
      </w:r>
      <w:r w:rsidR="002F2EE7" w:rsidRPr="002F2EE7">
        <w:rPr>
          <w:rFonts w:ascii="Times" w:eastAsia="Times New Roman" w:hAnsi="Times" w:cs="Times New Roman"/>
          <w:bCs/>
          <w:sz w:val="20"/>
          <w:szCs w:val="20"/>
          <w:vertAlign w:val="superscript"/>
        </w:rPr>
        <w:t xml:space="preserve">  </w:t>
      </w:r>
      <w:r w:rsidR="001B6474" w:rsidRPr="002F2EE7">
        <w:rPr>
          <w:rFonts w:ascii="Times" w:eastAsia="Times New Roman" w:hAnsi="Times" w:cs="Times New Roman"/>
          <w:bCs/>
          <w:sz w:val="20"/>
          <w:szCs w:val="20"/>
        </w:rPr>
        <w:t>The</w:t>
      </w:r>
      <w:r w:rsidR="001B6474" w:rsidRPr="002F2EE7">
        <w:rPr>
          <w:rFonts w:ascii="Times" w:eastAsia="Times New Roman" w:hAnsi="Times" w:cs="Times New Roman"/>
          <w:sz w:val="20"/>
          <w:szCs w:val="20"/>
        </w:rPr>
        <w:t xml:space="preserve"> purpose of this project is to evaluate the effects of </w:t>
      </w:r>
      <w:r w:rsidR="008B6252">
        <w:rPr>
          <w:rFonts w:ascii="Times" w:eastAsia="Times New Roman" w:hAnsi="Times" w:cs="Times New Roman"/>
          <w:sz w:val="20"/>
          <w:szCs w:val="20"/>
        </w:rPr>
        <w:t>total</w:t>
      </w:r>
      <w:r w:rsidR="00A64950">
        <w:rPr>
          <w:rFonts w:ascii="Times" w:eastAsia="Times New Roman" w:hAnsi="Times" w:cs="Times New Roman"/>
          <w:sz w:val="20"/>
          <w:szCs w:val="20"/>
        </w:rPr>
        <w:t xml:space="preserve"> dose of </w:t>
      </w:r>
      <w:r w:rsidR="001B6474" w:rsidRPr="002F2EE7">
        <w:rPr>
          <w:rFonts w:ascii="Times" w:eastAsia="Times New Roman" w:hAnsi="Times" w:cs="Times New Roman"/>
          <w:sz w:val="20"/>
          <w:szCs w:val="20"/>
        </w:rPr>
        <w:t xml:space="preserve">IV vitamin K in patients with shock liver coagulopathy in </w:t>
      </w:r>
      <w:r w:rsidR="009860EE">
        <w:rPr>
          <w:rFonts w:ascii="Times" w:eastAsia="Times New Roman" w:hAnsi="Times" w:cs="Times New Roman"/>
          <w:sz w:val="20"/>
          <w:szCs w:val="20"/>
        </w:rPr>
        <w:t>preventing</w:t>
      </w:r>
      <w:r w:rsidR="001B6474" w:rsidRPr="002F2EE7">
        <w:rPr>
          <w:rFonts w:ascii="Times" w:eastAsia="Times New Roman" w:hAnsi="Times" w:cs="Times New Roman"/>
          <w:sz w:val="20"/>
          <w:szCs w:val="20"/>
        </w:rPr>
        <w:t xml:space="preserve"> major bleeding</w:t>
      </w:r>
      <w:r w:rsidR="002F2EE7">
        <w:rPr>
          <w:rFonts w:ascii="Times" w:eastAsia="Times New Roman" w:hAnsi="Times" w:cs="Times New Roman"/>
          <w:sz w:val="20"/>
          <w:szCs w:val="20"/>
        </w:rPr>
        <w:t xml:space="preserve"> events</w:t>
      </w:r>
      <w:r w:rsidR="001B6474" w:rsidRPr="002F2E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8FBABF" w14:textId="77777777" w:rsidR="00AC01D9" w:rsidRDefault="00AC01D9" w:rsidP="001B64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A3EDBF" w14:textId="73F7A79A" w:rsidR="001B6474" w:rsidRDefault="00AC01D9" w:rsidP="001B64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01D9">
        <w:rPr>
          <w:rFonts w:ascii="Times New Roman" w:eastAsia="Times New Roman" w:hAnsi="Times New Roman" w:cs="Times New Roman"/>
          <w:b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DE755D" w:rsidRPr="000F1652">
        <w:rPr>
          <w:rFonts w:ascii="Times New Roman" w:eastAsia="Times New Roman" w:hAnsi="Times New Roman" w:cs="Times New Roman"/>
          <w:sz w:val="20"/>
          <w:szCs w:val="20"/>
        </w:rPr>
        <w:t xml:space="preserve">The primary </w:t>
      </w:r>
      <w:r w:rsidR="00DE755D">
        <w:rPr>
          <w:rFonts w:ascii="Times New Roman" w:eastAsia="Times New Roman" w:hAnsi="Times New Roman" w:cs="Times New Roman"/>
          <w:sz w:val="20"/>
          <w:szCs w:val="20"/>
        </w:rPr>
        <w:t>objective</w:t>
      </w:r>
      <w:r w:rsidR="00DE755D" w:rsidRPr="000F16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561E">
        <w:rPr>
          <w:rFonts w:ascii="Times New Roman" w:eastAsia="Times New Roman" w:hAnsi="Times New Roman" w:cs="Times New Roman"/>
          <w:sz w:val="20"/>
          <w:szCs w:val="20"/>
        </w:rPr>
        <w:t xml:space="preserve">of this study </w:t>
      </w:r>
      <w:r w:rsidR="00D126F7">
        <w:rPr>
          <w:rFonts w:ascii="Times New Roman" w:eastAsia="Times New Roman" w:hAnsi="Times New Roman" w:cs="Times New Roman"/>
          <w:sz w:val="20"/>
          <w:szCs w:val="20"/>
        </w:rPr>
        <w:t>is</w:t>
      </w:r>
      <w:r w:rsidR="002D561E">
        <w:rPr>
          <w:rFonts w:ascii="Times New Roman" w:eastAsia="Times New Roman" w:hAnsi="Times New Roman" w:cs="Times New Roman"/>
          <w:sz w:val="20"/>
          <w:szCs w:val="20"/>
        </w:rPr>
        <w:t xml:space="preserve"> to compare</w:t>
      </w:r>
      <w:r w:rsidR="00DE755D" w:rsidRPr="000F16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2F0F" w:rsidRPr="00F83113">
        <w:rPr>
          <w:rFonts w:ascii="Times New Roman" w:eastAsia="Times New Roman" w:hAnsi="Times New Roman" w:cs="Times New Roman"/>
          <w:sz w:val="20"/>
          <w:szCs w:val="20"/>
        </w:rPr>
        <w:t xml:space="preserve">incidence of </w:t>
      </w:r>
      <w:r w:rsidR="00DE755D" w:rsidRPr="00F83113">
        <w:rPr>
          <w:rFonts w:ascii="Times New Roman" w:eastAsia="Times New Roman" w:hAnsi="Times New Roman" w:cs="Times New Roman"/>
          <w:sz w:val="20"/>
          <w:szCs w:val="20"/>
        </w:rPr>
        <w:t>major bleeding occurrences during hospitalization</w:t>
      </w:r>
      <w:r w:rsidR="00CE1249" w:rsidRPr="00F83113">
        <w:rPr>
          <w:rFonts w:ascii="Times New Roman" w:eastAsia="Times New Roman" w:hAnsi="Times New Roman" w:cs="Times New Roman"/>
          <w:sz w:val="20"/>
          <w:szCs w:val="20"/>
        </w:rPr>
        <w:t xml:space="preserve"> between the two groups</w:t>
      </w:r>
      <w:r w:rsidR="009860EE" w:rsidRPr="00F8311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471F7" w:rsidRPr="00F83113">
        <w:rPr>
          <w:rFonts w:ascii="Times New Roman" w:eastAsia="Times New Roman" w:hAnsi="Times New Roman" w:cs="Times New Roman"/>
          <w:sz w:val="20"/>
          <w:szCs w:val="20"/>
        </w:rPr>
        <w:t>total dose of IV vitamin K 10 mg</w:t>
      </w:r>
      <w:r w:rsidR="009860EE" w:rsidRPr="00F83113">
        <w:rPr>
          <w:rFonts w:ascii="Times New Roman" w:eastAsia="Times New Roman" w:hAnsi="Times New Roman" w:cs="Times New Roman"/>
          <w:sz w:val="20"/>
          <w:szCs w:val="20"/>
        </w:rPr>
        <w:t xml:space="preserve"> (control) vs. </w:t>
      </w:r>
      <w:r w:rsidR="003471F7" w:rsidRPr="00F83113">
        <w:rPr>
          <w:rFonts w:ascii="Times New Roman" w:eastAsia="Times New Roman" w:hAnsi="Times New Roman" w:cs="Times New Roman"/>
          <w:sz w:val="20"/>
          <w:szCs w:val="20"/>
        </w:rPr>
        <w:t>total dose of IV</w:t>
      </w:r>
      <w:r w:rsidR="009860EE" w:rsidRPr="00F83113">
        <w:rPr>
          <w:rFonts w:ascii="Times New Roman" w:eastAsia="Times New Roman" w:hAnsi="Times New Roman" w:cs="Times New Roman"/>
          <w:sz w:val="20"/>
          <w:szCs w:val="20"/>
        </w:rPr>
        <w:t xml:space="preserve"> vitamin K </w:t>
      </w:r>
      <w:r w:rsidR="003471F7" w:rsidRPr="00F83113">
        <w:rPr>
          <w:rFonts w:ascii="Times New Roman" w:eastAsia="Times New Roman" w:hAnsi="Times New Roman" w:cs="Times New Roman"/>
          <w:sz w:val="20"/>
          <w:szCs w:val="20"/>
        </w:rPr>
        <w:t xml:space="preserve">&gt; 10 mg </w:t>
      </w:r>
      <w:r w:rsidR="009860EE" w:rsidRPr="00F83113">
        <w:rPr>
          <w:rFonts w:ascii="Times New Roman" w:eastAsia="Times New Roman" w:hAnsi="Times New Roman" w:cs="Times New Roman"/>
          <w:sz w:val="20"/>
          <w:szCs w:val="20"/>
        </w:rPr>
        <w:t>(intervention)</w:t>
      </w:r>
      <w:r w:rsidR="00DE755D" w:rsidRPr="00F8311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A3F62" w:rsidRPr="00F83113">
        <w:rPr>
          <w:rFonts w:ascii="Times New Roman" w:eastAsia="Times New Roman" w:hAnsi="Times New Roman" w:cs="Times New Roman"/>
          <w:sz w:val="20"/>
          <w:szCs w:val="20"/>
        </w:rPr>
        <w:t>The s</w:t>
      </w:r>
      <w:r w:rsidR="00DE755D" w:rsidRPr="00F83113">
        <w:rPr>
          <w:rFonts w:ascii="Times New Roman" w:eastAsia="Times New Roman" w:hAnsi="Times New Roman" w:cs="Times New Roman"/>
          <w:sz w:val="20"/>
          <w:szCs w:val="20"/>
        </w:rPr>
        <w:t xml:space="preserve">econdary </w:t>
      </w:r>
      <w:r w:rsidR="008109A6" w:rsidRPr="00F83113">
        <w:rPr>
          <w:rFonts w:ascii="Times New Roman" w:eastAsia="Times New Roman" w:hAnsi="Times New Roman" w:cs="Times New Roman"/>
          <w:sz w:val="20"/>
          <w:szCs w:val="20"/>
        </w:rPr>
        <w:t>objective</w:t>
      </w:r>
      <w:r w:rsidR="00DE755D" w:rsidRPr="00F831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26F7" w:rsidRPr="00F83113">
        <w:rPr>
          <w:rFonts w:ascii="Times New Roman" w:eastAsia="Times New Roman" w:hAnsi="Times New Roman" w:cs="Times New Roman"/>
          <w:sz w:val="20"/>
          <w:szCs w:val="20"/>
        </w:rPr>
        <w:t xml:space="preserve">is to </w:t>
      </w:r>
      <w:r w:rsidR="00F83113" w:rsidRPr="00F83113">
        <w:rPr>
          <w:rFonts w:ascii="Times New Roman" w:eastAsia="Times New Roman" w:hAnsi="Times New Roman" w:cs="Times New Roman"/>
          <w:sz w:val="20"/>
          <w:szCs w:val="20"/>
        </w:rPr>
        <w:t>assess the percent change in INR from baseline post IV vitamin K administration.</w:t>
      </w:r>
      <w:r w:rsidR="00F831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AA3F9D" w14:textId="77777777" w:rsidR="00AC01D9" w:rsidRPr="002F2EE7" w:rsidRDefault="00AC01D9" w:rsidP="001B64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121D9F5A" w:rsidR="0031577C" w:rsidRPr="00391F20" w:rsidRDefault="00EF5878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F2EE7">
        <w:rPr>
          <w:rFonts w:ascii="Times New Roman" w:eastAsia="Times New Roman" w:hAnsi="Times New Roman" w:cs="Times New Roman"/>
          <w:b/>
          <w:sz w:val="20"/>
          <w:szCs w:val="20"/>
        </w:rPr>
        <w:t>Methods</w:t>
      </w:r>
      <w:r w:rsidRPr="002F2EE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 w:rsidR="00D126F7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C62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a retrospective </w:t>
      </w:r>
      <w:r w:rsidR="00120722">
        <w:rPr>
          <w:rFonts w:ascii="Times New Roman" w:eastAsia="Times New Roman" w:hAnsi="Times New Roman" w:cs="Times New Roman"/>
          <w:sz w:val="20"/>
          <w:szCs w:val="20"/>
        </w:rPr>
        <w:t>case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 study </w:t>
      </w:r>
      <w:r w:rsidR="005365B3">
        <w:rPr>
          <w:rFonts w:ascii="Times New Roman" w:eastAsia="Times New Roman" w:hAnsi="Times New Roman" w:cs="Times New Roman"/>
          <w:sz w:val="20"/>
          <w:szCs w:val="20"/>
        </w:rPr>
        <w:t xml:space="preserve">evaluating 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>patients from January 201</w:t>
      </w:r>
      <w:r w:rsidR="00670A18" w:rsidRPr="000F165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670A18" w:rsidRPr="000F1652">
        <w:rPr>
          <w:rFonts w:ascii="Times New Roman" w:eastAsia="Times New Roman" w:hAnsi="Times New Roman" w:cs="Times New Roman"/>
          <w:sz w:val="20"/>
          <w:szCs w:val="20"/>
        </w:rPr>
        <w:t>May 2021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6211">
        <w:rPr>
          <w:rFonts w:ascii="Times New Roman" w:eastAsia="Times New Roman" w:hAnsi="Times New Roman" w:cs="Times New Roman"/>
          <w:sz w:val="20"/>
          <w:szCs w:val="20"/>
        </w:rPr>
        <w:t xml:space="preserve">diagnosed with </w:t>
      </w:r>
      <w:r w:rsidR="00670A18" w:rsidRPr="000F1652">
        <w:rPr>
          <w:rFonts w:ascii="Times New Roman" w:eastAsia="Times New Roman" w:hAnsi="Times New Roman" w:cs="Times New Roman"/>
          <w:sz w:val="20"/>
          <w:szCs w:val="20"/>
        </w:rPr>
        <w:t>shock liver coagulopathy</w:t>
      </w:r>
      <w:r w:rsidR="00AB3422">
        <w:rPr>
          <w:rFonts w:ascii="Times New Roman" w:eastAsia="Times New Roman" w:hAnsi="Times New Roman" w:cs="Times New Roman"/>
          <w:sz w:val="20"/>
          <w:szCs w:val="20"/>
        </w:rPr>
        <w:t xml:space="preserve"> defined by ICD code K72.00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. Patients were included if at least 18 years old, admitted to </w:t>
      </w:r>
      <w:r w:rsidR="002F4A99" w:rsidRPr="000F1652">
        <w:rPr>
          <w:rFonts w:ascii="Times New Roman" w:eastAsia="Times New Roman" w:hAnsi="Times New Roman" w:cs="Times New Roman"/>
          <w:sz w:val="20"/>
          <w:szCs w:val="20"/>
        </w:rPr>
        <w:t>one o</w:t>
      </w:r>
      <w:r w:rsidR="002F1DF0">
        <w:rPr>
          <w:rFonts w:ascii="Times New Roman" w:eastAsia="Times New Roman" w:hAnsi="Times New Roman" w:cs="Times New Roman"/>
          <w:sz w:val="20"/>
          <w:szCs w:val="20"/>
        </w:rPr>
        <w:t>f the intensive care units</w:t>
      </w:r>
      <w:r w:rsidR="002F4A99" w:rsidRPr="000F1652">
        <w:rPr>
          <w:rFonts w:ascii="Times New Roman" w:eastAsia="Times New Roman" w:hAnsi="Times New Roman" w:cs="Times New Roman"/>
          <w:sz w:val="20"/>
          <w:szCs w:val="20"/>
        </w:rPr>
        <w:t xml:space="preserve"> at UNC Rex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40FE4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67100C" w:rsidRPr="000F1652">
        <w:rPr>
          <w:rFonts w:ascii="Times New Roman" w:eastAsia="Times New Roman" w:hAnsi="Times New Roman" w:cs="Times New Roman"/>
          <w:sz w:val="20"/>
          <w:szCs w:val="20"/>
        </w:rPr>
        <w:t xml:space="preserve"> a baseline INR of &gt; 1.5, receive</w:t>
      </w:r>
      <w:r w:rsidR="005365B3">
        <w:rPr>
          <w:rFonts w:ascii="Times New Roman" w:eastAsia="Times New Roman" w:hAnsi="Times New Roman" w:cs="Times New Roman"/>
          <w:sz w:val="20"/>
          <w:szCs w:val="20"/>
        </w:rPr>
        <w:t>d</w:t>
      </w:r>
      <w:r w:rsidR="00A36252">
        <w:rPr>
          <w:rFonts w:ascii="Times New Roman" w:eastAsia="Times New Roman" w:hAnsi="Times New Roman" w:cs="Times New Roman"/>
          <w:sz w:val="20"/>
          <w:szCs w:val="20"/>
        </w:rPr>
        <w:t xml:space="preserve"> at least one dose of IV v</w:t>
      </w:r>
      <w:r w:rsidR="0067100C" w:rsidRPr="000F1652">
        <w:rPr>
          <w:rFonts w:ascii="Times New Roman" w:eastAsia="Times New Roman" w:hAnsi="Times New Roman" w:cs="Times New Roman"/>
          <w:sz w:val="20"/>
          <w:szCs w:val="20"/>
        </w:rPr>
        <w:t xml:space="preserve">itamin K, and received </w:t>
      </w:r>
      <w:r w:rsidR="00317903">
        <w:rPr>
          <w:rFonts w:ascii="Times New Roman" w:eastAsia="Times New Roman" w:hAnsi="Times New Roman" w:cs="Times New Roman"/>
          <w:sz w:val="20"/>
          <w:szCs w:val="20"/>
        </w:rPr>
        <w:t>at least</w:t>
      </w:r>
      <w:r w:rsidR="0067100C" w:rsidRPr="000F16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29C2"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 w:rsidR="0067100C" w:rsidRPr="000F1652">
        <w:rPr>
          <w:rFonts w:ascii="Times New Roman" w:eastAsia="Times New Roman" w:hAnsi="Times New Roman" w:cs="Times New Roman"/>
          <w:sz w:val="20"/>
          <w:szCs w:val="20"/>
        </w:rPr>
        <w:t>INR</w:t>
      </w:r>
      <w:r w:rsidR="00C45A5A">
        <w:rPr>
          <w:rFonts w:ascii="Times New Roman" w:eastAsia="Times New Roman" w:hAnsi="Times New Roman" w:cs="Times New Roman"/>
          <w:sz w:val="20"/>
          <w:szCs w:val="20"/>
        </w:rPr>
        <w:t xml:space="preserve"> within </w:t>
      </w:r>
      <w:r w:rsidR="0067100C" w:rsidRPr="000F1652">
        <w:rPr>
          <w:rFonts w:ascii="Times New Roman" w:eastAsia="Times New Roman" w:hAnsi="Times New Roman" w:cs="Times New Roman"/>
          <w:sz w:val="20"/>
          <w:szCs w:val="20"/>
        </w:rPr>
        <w:t>24 hours post IV vitamin K administration</w:t>
      </w:r>
      <w:r w:rsidR="006B261B" w:rsidRPr="000F165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Patients </w:t>
      </w:r>
      <w:r w:rsidR="005365B3">
        <w:rPr>
          <w:rFonts w:ascii="Times New Roman" w:eastAsia="Times New Roman" w:hAnsi="Times New Roman" w:cs="Times New Roman"/>
          <w:sz w:val="20"/>
          <w:szCs w:val="20"/>
        </w:rPr>
        <w:t>who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2EE7" w:rsidRPr="000F1652">
        <w:rPr>
          <w:rFonts w:ascii="Times New Roman" w:eastAsia="Times New Roman" w:hAnsi="Times New Roman" w:cs="Times New Roman"/>
          <w:sz w:val="20"/>
          <w:szCs w:val="20"/>
        </w:rPr>
        <w:t xml:space="preserve">received </w:t>
      </w:r>
      <w:r w:rsidR="00F83113">
        <w:rPr>
          <w:rFonts w:ascii="Times New Roman" w:eastAsia="Times New Roman" w:hAnsi="Times New Roman" w:cs="Times New Roman"/>
          <w:sz w:val="20"/>
          <w:szCs w:val="20"/>
        </w:rPr>
        <w:t>a total dose of</w:t>
      </w:r>
      <w:r w:rsidR="004E7927" w:rsidRPr="000F1652">
        <w:rPr>
          <w:rFonts w:ascii="Times New Roman" w:eastAsia="Times New Roman" w:hAnsi="Times New Roman" w:cs="Times New Roman"/>
          <w:sz w:val="20"/>
          <w:szCs w:val="20"/>
        </w:rPr>
        <w:t xml:space="preserve"> IV vitamin K</w:t>
      </w:r>
      <w:r w:rsidR="005365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3113">
        <w:rPr>
          <w:rFonts w:ascii="Times New Roman" w:eastAsia="Times New Roman" w:hAnsi="Times New Roman" w:cs="Times New Roman"/>
          <w:sz w:val="20"/>
          <w:szCs w:val="20"/>
        </w:rPr>
        <w:t xml:space="preserve">10 mg </w:t>
      </w:r>
      <w:r w:rsidR="005365B3">
        <w:rPr>
          <w:rFonts w:ascii="Times New Roman" w:eastAsia="Times New Roman" w:hAnsi="Times New Roman" w:cs="Times New Roman"/>
          <w:sz w:val="20"/>
          <w:szCs w:val="20"/>
        </w:rPr>
        <w:t xml:space="preserve">(control) </w:t>
      </w:r>
      <w:r w:rsidR="00D126F7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5365B3">
        <w:rPr>
          <w:rFonts w:ascii="Times New Roman" w:eastAsia="Times New Roman" w:hAnsi="Times New Roman" w:cs="Times New Roman"/>
          <w:sz w:val="20"/>
          <w:szCs w:val="20"/>
        </w:rPr>
        <w:t xml:space="preserve"> compared to p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atients </w:t>
      </w:r>
      <w:r w:rsidR="005365B3"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received </w:t>
      </w:r>
      <w:r w:rsidR="00F83113">
        <w:rPr>
          <w:rFonts w:ascii="Times New Roman" w:eastAsia="Times New Roman" w:hAnsi="Times New Roman" w:cs="Times New Roman"/>
          <w:sz w:val="20"/>
          <w:szCs w:val="20"/>
        </w:rPr>
        <w:t>total dose of</w:t>
      </w:r>
      <w:r w:rsidR="004E7927" w:rsidRPr="000F1652">
        <w:rPr>
          <w:rFonts w:ascii="Times New Roman" w:eastAsia="Times New Roman" w:hAnsi="Times New Roman" w:cs="Times New Roman"/>
          <w:sz w:val="20"/>
          <w:szCs w:val="20"/>
        </w:rPr>
        <w:t xml:space="preserve"> IV vitamin K</w:t>
      </w:r>
      <w:r w:rsidR="00F83113">
        <w:rPr>
          <w:rFonts w:ascii="Times New Roman" w:eastAsia="Times New Roman" w:hAnsi="Times New Roman" w:cs="Times New Roman"/>
          <w:sz w:val="20"/>
          <w:szCs w:val="20"/>
        </w:rPr>
        <w:t xml:space="preserve"> &gt;10 mg</w:t>
      </w:r>
      <w:r w:rsidR="005365B3">
        <w:rPr>
          <w:rFonts w:ascii="Times New Roman" w:eastAsia="Times New Roman" w:hAnsi="Times New Roman" w:cs="Times New Roman"/>
          <w:sz w:val="20"/>
          <w:szCs w:val="20"/>
        </w:rPr>
        <w:t xml:space="preserve"> (intervention)</w:t>
      </w:r>
      <w:r w:rsidR="00A36591" w:rsidRPr="00A3659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7A595F" w:rsidRPr="007A595F">
        <w:rPr>
          <w:rFonts w:ascii="Times New Roman" w:eastAsia="Times New Roman" w:hAnsi="Times New Roman" w:cs="Times New Roman"/>
          <w:bCs/>
          <w:sz w:val="20"/>
          <w:szCs w:val="20"/>
        </w:rPr>
        <w:t xml:space="preserve"> Descriptive statistics (mean, standard deviation. minimum, maximum) on all variables were estimated initially. Treatment group differences on independent variables were estimated using t-tests, chi-square tests, or Fisher exact tests according to the metrics and distributions on relevant variables. Logistic regression was used to </w:t>
      </w:r>
      <w:r w:rsidR="0069010B" w:rsidRPr="007A595F">
        <w:rPr>
          <w:rFonts w:ascii="Times New Roman" w:eastAsia="Times New Roman" w:hAnsi="Times New Roman" w:cs="Times New Roman"/>
          <w:bCs/>
          <w:sz w:val="20"/>
          <w:szCs w:val="20"/>
        </w:rPr>
        <w:t>estimate the</w:t>
      </w:r>
      <w:r w:rsidR="007A595F" w:rsidRPr="007A595F">
        <w:rPr>
          <w:rFonts w:ascii="Times New Roman" w:eastAsia="Times New Roman" w:hAnsi="Times New Roman" w:cs="Times New Roman"/>
          <w:bCs/>
          <w:sz w:val="20"/>
          <w:szCs w:val="20"/>
        </w:rPr>
        <w:t xml:space="preserve"> effects of dosage and other predictors on binary outcome.</w:t>
      </w:r>
    </w:p>
    <w:p w14:paraId="4ECB5F9A" w14:textId="75EFF7EC" w:rsidR="00245C75" w:rsidRPr="00B75225" w:rsidRDefault="00245C75" w:rsidP="005B3FFC">
      <w:pPr>
        <w:pStyle w:val="Heading1"/>
        <w:rPr>
          <w:rFonts w:ascii="Times New Roman" w:eastAsia="Times New Roman" w:hAnsi="Times New Roman" w:cs="Times New Roman"/>
          <w:sz w:val="20"/>
          <w:szCs w:val="20"/>
        </w:rPr>
      </w:pPr>
      <w:r w:rsidRPr="000F1652">
        <w:rPr>
          <w:rFonts w:ascii="Times New Roman" w:eastAsia="Times New Roman" w:hAnsi="Times New Roman" w:cs="Times New Roman"/>
          <w:b/>
          <w:sz w:val="20"/>
          <w:szCs w:val="20"/>
        </w:rPr>
        <w:t xml:space="preserve">Preliminary </w:t>
      </w:r>
      <w:r w:rsidR="00EF5878" w:rsidRPr="000F1652">
        <w:rPr>
          <w:rFonts w:ascii="Times New Roman" w:eastAsia="Times New Roman" w:hAnsi="Times New Roman" w:cs="Times New Roman"/>
          <w:b/>
          <w:sz w:val="20"/>
          <w:szCs w:val="20"/>
        </w:rPr>
        <w:t>Results</w:t>
      </w:r>
      <w:r w:rsidR="008B562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DC3018">
        <w:rPr>
          <w:rFonts w:ascii="Times New Roman" w:eastAsia="Times New Roman" w:hAnsi="Times New Roman" w:cs="Times New Roman"/>
          <w:sz w:val="20"/>
          <w:szCs w:val="20"/>
        </w:rPr>
        <w:t xml:space="preserve">Total of </w:t>
      </w:r>
      <w:r w:rsidR="00456ACD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B562E">
        <w:rPr>
          <w:rFonts w:ascii="Times New Roman" w:eastAsia="Times New Roman" w:hAnsi="Times New Roman" w:cs="Times New Roman"/>
          <w:sz w:val="20"/>
          <w:szCs w:val="20"/>
        </w:rPr>
        <w:t xml:space="preserve"> patients were included in this study—5 patients in the control group and 12 patients in the intervention group. </w:t>
      </w:r>
      <w:r w:rsidR="008B70AA">
        <w:rPr>
          <w:rFonts w:ascii="Times New Roman" w:eastAsia="Times New Roman" w:hAnsi="Times New Roman" w:cs="Times New Roman"/>
          <w:sz w:val="20"/>
          <w:szCs w:val="20"/>
        </w:rPr>
        <w:t>Eighty-five percent</w:t>
      </w:r>
      <w:r w:rsidR="002A01D9">
        <w:rPr>
          <w:rFonts w:ascii="Times New Roman" w:eastAsia="Times New Roman" w:hAnsi="Times New Roman" w:cs="Times New Roman"/>
          <w:sz w:val="20"/>
          <w:szCs w:val="20"/>
        </w:rPr>
        <w:t xml:space="preserve"> of all </w:t>
      </w:r>
      <w:r w:rsidR="00D648CC" w:rsidRPr="00D648CC">
        <w:rPr>
          <w:rFonts w:ascii="Times New Roman" w:eastAsia="Times New Roman" w:hAnsi="Times New Roman" w:cs="Times New Roman"/>
          <w:sz w:val="20"/>
          <w:szCs w:val="20"/>
        </w:rPr>
        <w:t>doses (33/39) were 10 mg, and every respondent receiving a</w:t>
      </w:r>
      <w:r w:rsidR="00B75225">
        <w:rPr>
          <w:rFonts w:ascii="Times New Roman" w:eastAsia="Times New Roman" w:hAnsi="Times New Roman" w:cs="Times New Roman"/>
          <w:sz w:val="20"/>
          <w:szCs w:val="20"/>
        </w:rPr>
        <w:t xml:space="preserve"> smaller dose </w:t>
      </w:r>
      <w:r w:rsidR="00AA4A03">
        <w:rPr>
          <w:rFonts w:ascii="Times New Roman" w:eastAsia="Times New Roman" w:hAnsi="Times New Roman" w:cs="Times New Roman"/>
          <w:sz w:val="20"/>
          <w:szCs w:val="20"/>
        </w:rPr>
        <w:t xml:space="preserve">(&lt; 10 mg) </w:t>
      </w:r>
      <w:r w:rsidR="00B75225">
        <w:rPr>
          <w:rFonts w:ascii="Times New Roman" w:eastAsia="Times New Roman" w:hAnsi="Times New Roman" w:cs="Times New Roman"/>
          <w:sz w:val="20"/>
          <w:szCs w:val="20"/>
        </w:rPr>
        <w:t>received a 10 mg</w:t>
      </w:r>
      <w:r w:rsidR="008474E6">
        <w:rPr>
          <w:rFonts w:ascii="Times New Roman" w:eastAsia="Times New Roman" w:hAnsi="Times New Roman" w:cs="Times New Roman"/>
          <w:sz w:val="20"/>
          <w:szCs w:val="20"/>
        </w:rPr>
        <w:t xml:space="preserve"> dose as well.</w:t>
      </w:r>
      <w:r w:rsidR="00783A84">
        <w:rPr>
          <w:rFonts w:ascii="Times New Roman" w:eastAsia="Times New Roman" w:hAnsi="Times New Roman" w:cs="Times New Roman"/>
          <w:sz w:val="20"/>
          <w:szCs w:val="20"/>
        </w:rPr>
        <w:t xml:space="preserve"> Median total dose was 21 mg in the intervention group.</w:t>
      </w:r>
      <w:r w:rsidR="00D648CC" w:rsidRPr="00D648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6AB5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1A532E">
        <w:rPr>
          <w:rFonts w:ascii="Times New Roman" w:eastAsia="Times New Roman" w:hAnsi="Times New Roman" w:cs="Times New Roman"/>
          <w:sz w:val="20"/>
          <w:szCs w:val="20"/>
        </w:rPr>
        <w:t xml:space="preserve"> of 15 patients exp</w:t>
      </w:r>
      <w:r w:rsidR="00266650">
        <w:rPr>
          <w:rFonts w:ascii="Times New Roman" w:eastAsia="Times New Roman" w:hAnsi="Times New Roman" w:cs="Times New Roman"/>
          <w:sz w:val="20"/>
          <w:szCs w:val="20"/>
        </w:rPr>
        <w:t>erienced a major bleeding event</w:t>
      </w:r>
      <w:r w:rsidR="00266650" w:rsidRPr="00266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6650">
        <w:rPr>
          <w:rFonts w:ascii="Times New Roman" w:eastAsia="Times New Roman" w:hAnsi="Times New Roman" w:cs="Times New Roman"/>
          <w:sz w:val="20"/>
          <w:szCs w:val="20"/>
        </w:rPr>
        <w:t>post IV vitamin K administration,</w:t>
      </w:r>
      <w:r w:rsidR="004E6B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6FDC">
        <w:rPr>
          <w:rFonts w:ascii="Times New Roman" w:eastAsia="Times New Roman" w:hAnsi="Times New Roman" w:cs="Times New Roman"/>
          <w:sz w:val="20"/>
          <w:szCs w:val="20"/>
        </w:rPr>
        <w:t>4 patients (</w:t>
      </w:r>
      <w:r w:rsidR="00514A32">
        <w:rPr>
          <w:rFonts w:ascii="Times New Roman" w:eastAsia="Times New Roman" w:hAnsi="Times New Roman" w:cs="Times New Roman"/>
          <w:sz w:val="20"/>
          <w:szCs w:val="20"/>
        </w:rPr>
        <w:t>80%</w:t>
      </w:r>
      <w:r w:rsidR="00266FDC">
        <w:rPr>
          <w:rFonts w:ascii="Times New Roman" w:eastAsia="Times New Roman" w:hAnsi="Times New Roman" w:cs="Times New Roman"/>
          <w:sz w:val="20"/>
          <w:szCs w:val="20"/>
        </w:rPr>
        <w:t>)</w:t>
      </w:r>
      <w:r w:rsidR="00514A32">
        <w:rPr>
          <w:rFonts w:ascii="Times New Roman" w:eastAsia="Times New Roman" w:hAnsi="Times New Roman" w:cs="Times New Roman"/>
          <w:sz w:val="20"/>
          <w:szCs w:val="20"/>
        </w:rPr>
        <w:t xml:space="preserve"> of the control group and </w:t>
      </w:r>
      <w:r w:rsidR="00A178FA">
        <w:rPr>
          <w:rFonts w:ascii="Times New Roman" w:eastAsia="Times New Roman" w:hAnsi="Times New Roman" w:cs="Times New Roman"/>
          <w:sz w:val="20"/>
          <w:szCs w:val="20"/>
        </w:rPr>
        <w:t>11 patients (91.6</w:t>
      </w:r>
      <w:r w:rsidR="00514A32">
        <w:rPr>
          <w:rFonts w:ascii="Times New Roman" w:eastAsia="Times New Roman" w:hAnsi="Times New Roman" w:cs="Times New Roman"/>
          <w:sz w:val="20"/>
          <w:szCs w:val="20"/>
        </w:rPr>
        <w:t>%</w:t>
      </w:r>
      <w:r w:rsidR="00A178FA">
        <w:rPr>
          <w:rFonts w:ascii="Times New Roman" w:eastAsia="Times New Roman" w:hAnsi="Times New Roman" w:cs="Times New Roman"/>
          <w:sz w:val="20"/>
          <w:szCs w:val="20"/>
        </w:rPr>
        <w:t>)</w:t>
      </w:r>
      <w:r w:rsidR="00514A32">
        <w:rPr>
          <w:rFonts w:ascii="Times New Roman" w:eastAsia="Times New Roman" w:hAnsi="Times New Roman" w:cs="Times New Roman"/>
          <w:sz w:val="20"/>
          <w:szCs w:val="20"/>
        </w:rPr>
        <w:t xml:space="preserve"> of the intervention grou</w:t>
      </w:r>
      <w:r w:rsidR="00266650">
        <w:rPr>
          <w:rFonts w:ascii="Times New Roman" w:eastAsia="Times New Roman" w:hAnsi="Times New Roman" w:cs="Times New Roman"/>
          <w:sz w:val="20"/>
          <w:szCs w:val="20"/>
        </w:rPr>
        <w:t>p.</w:t>
      </w:r>
      <w:r w:rsidR="003633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6AB5" w:rsidRPr="00D648CC">
        <w:rPr>
          <w:rFonts w:ascii="Times New Roman" w:eastAsia="Times New Roman" w:hAnsi="Times New Roman" w:cs="Times New Roman"/>
          <w:sz w:val="20"/>
          <w:szCs w:val="20"/>
        </w:rPr>
        <w:t xml:space="preserve">Following an initial dose of </w:t>
      </w:r>
      <w:r w:rsidR="000A6AB5">
        <w:rPr>
          <w:rFonts w:ascii="Times New Roman" w:eastAsia="Times New Roman" w:hAnsi="Times New Roman" w:cs="Times New Roman"/>
          <w:sz w:val="20"/>
          <w:szCs w:val="20"/>
        </w:rPr>
        <w:t xml:space="preserve">IV vitamin </w:t>
      </w:r>
      <w:r w:rsidR="000A6AB5" w:rsidRPr="00D648CC"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 w:rsidR="000A6AB5">
        <w:rPr>
          <w:rFonts w:ascii="Times New Roman" w:eastAsia="Times New Roman" w:hAnsi="Times New Roman" w:cs="Times New Roman"/>
          <w:sz w:val="20"/>
          <w:szCs w:val="20"/>
        </w:rPr>
        <w:t xml:space="preserve">major bleeding event occurred within 24 hours—a median of 20 hours and 16 hours in the control and intervention group, respectively. </w:t>
      </w:r>
      <w:r w:rsidR="00CA1A73">
        <w:rPr>
          <w:rFonts w:ascii="Times New Roman" w:eastAsia="Times New Roman" w:hAnsi="Times New Roman" w:cs="Times New Roman"/>
          <w:sz w:val="20"/>
          <w:szCs w:val="20"/>
        </w:rPr>
        <w:t xml:space="preserve">Median baseline INR was 4.7 in the control group and 3.8 in the intervention group. </w:t>
      </w:r>
      <w:r w:rsidR="00A029C2">
        <w:rPr>
          <w:rFonts w:ascii="Times New Roman" w:eastAsia="Times New Roman" w:hAnsi="Times New Roman" w:cs="Times New Roman"/>
          <w:sz w:val="20"/>
          <w:szCs w:val="20"/>
        </w:rPr>
        <w:t xml:space="preserve">Median time to first INR post IV vitamin K dose was 2.7 hours in the control group </w:t>
      </w:r>
      <w:r w:rsidR="00A178FA">
        <w:rPr>
          <w:rFonts w:ascii="Times New Roman" w:eastAsia="Times New Roman" w:hAnsi="Times New Roman" w:cs="Times New Roman"/>
          <w:sz w:val="20"/>
          <w:szCs w:val="20"/>
        </w:rPr>
        <w:t>with a</w:t>
      </w:r>
      <w:r w:rsidR="005B3FFC">
        <w:rPr>
          <w:rFonts w:ascii="Times New Roman" w:eastAsia="Times New Roman" w:hAnsi="Times New Roman" w:cs="Times New Roman"/>
          <w:sz w:val="20"/>
          <w:szCs w:val="20"/>
        </w:rPr>
        <w:t xml:space="preserve"> median </w:t>
      </w:r>
      <w:r w:rsidR="00A178FA">
        <w:rPr>
          <w:rFonts w:ascii="Times New Roman" w:eastAsia="Times New Roman" w:hAnsi="Times New Roman" w:cs="Times New Roman"/>
          <w:sz w:val="20"/>
          <w:szCs w:val="20"/>
        </w:rPr>
        <w:t xml:space="preserve">INR percent change of </w:t>
      </w:r>
      <w:r w:rsidR="005B3FFC">
        <w:rPr>
          <w:rFonts w:ascii="Times New Roman" w:eastAsia="Times New Roman" w:hAnsi="Times New Roman" w:cs="Times New Roman"/>
          <w:sz w:val="20"/>
          <w:szCs w:val="20"/>
        </w:rPr>
        <w:t xml:space="preserve">    -27</w:t>
      </w:r>
      <w:r w:rsidR="00A178FA">
        <w:rPr>
          <w:rFonts w:ascii="Times New Roman" w:eastAsia="Times New Roman" w:hAnsi="Times New Roman" w:cs="Times New Roman"/>
          <w:sz w:val="20"/>
          <w:szCs w:val="20"/>
        </w:rPr>
        <w:t xml:space="preserve">% from baseline. Median time to first INR post IV vitamin K dose was </w:t>
      </w:r>
      <w:r w:rsidR="006A47CE">
        <w:rPr>
          <w:rFonts w:ascii="Times New Roman" w:eastAsia="Times New Roman" w:hAnsi="Times New Roman" w:cs="Times New Roman"/>
          <w:sz w:val="20"/>
          <w:szCs w:val="20"/>
        </w:rPr>
        <w:t>21.4</w:t>
      </w:r>
      <w:r w:rsidR="00A029C2">
        <w:rPr>
          <w:rFonts w:ascii="Times New Roman" w:eastAsia="Times New Roman" w:hAnsi="Times New Roman" w:cs="Times New Roman"/>
          <w:sz w:val="20"/>
          <w:szCs w:val="20"/>
        </w:rPr>
        <w:t xml:space="preserve"> hours in the intervention group </w:t>
      </w:r>
      <w:r w:rsidR="00A178FA">
        <w:rPr>
          <w:rFonts w:ascii="Times New Roman" w:eastAsia="Times New Roman" w:hAnsi="Times New Roman" w:cs="Times New Roman"/>
          <w:sz w:val="20"/>
          <w:szCs w:val="20"/>
        </w:rPr>
        <w:t>with an INR percent cha</w:t>
      </w:r>
      <w:r w:rsidR="00C663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A178FA">
        <w:rPr>
          <w:rFonts w:ascii="Times New Roman" w:eastAsia="Times New Roman" w:hAnsi="Times New Roman" w:cs="Times New Roman"/>
          <w:sz w:val="20"/>
          <w:szCs w:val="20"/>
        </w:rPr>
        <w:t>ge</w:t>
      </w:r>
      <w:r w:rsidR="00C663BD">
        <w:rPr>
          <w:rFonts w:ascii="Times New Roman" w:eastAsia="Times New Roman" w:hAnsi="Times New Roman" w:cs="Times New Roman"/>
          <w:sz w:val="20"/>
          <w:szCs w:val="20"/>
        </w:rPr>
        <w:t xml:space="preserve"> of -</w:t>
      </w:r>
      <w:r w:rsidR="006A47CE">
        <w:rPr>
          <w:rFonts w:ascii="Times New Roman" w:eastAsia="Times New Roman" w:hAnsi="Times New Roman" w:cs="Times New Roman"/>
          <w:sz w:val="20"/>
          <w:szCs w:val="20"/>
        </w:rPr>
        <w:t>31</w:t>
      </w:r>
      <w:r w:rsidR="00C663BD">
        <w:rPr>
          <w:rFonts w:ascii="Times New Roman" w:eastAsia="Times New Roman" w:hAnsi="Times New Roman" w:cs="Times New Roman"/>
          <w:sz w:val="20"/>
          <w:szCs w:val="20"/>
        </w:rPr>
        <w:t xml:space="preserve">% from baseline. </w:t>
      </w:r>
    </w:p>
    <w:p w14:paraId="7801B80A" w14:textId="77777777" w:rsidR="00DF3DDD" w:rsidRPr="00DF3DDD" w:rsidRDefault="00DF3DDD" w:rsidP="00245C75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14:paraId="00000016" w14:textId="2FCA49D4" w:rsidR="0031577C" w:rsidRPr="000F1652" w:rsidRDefault="00EF5878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F1652">
        <w:rPr>
          <w:rFonts w:ascii="Times New Roman" w:eastAsia="Times New Roman" w:hAnsi="Times New Roman" w:cs="Times New Roman"/>
          <w:b/>
          <w:sz w:val="20"/>
          <w:szCs w:val="20"/>
        </w:rPr>
        <w:t>Conclusion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D3199">
        <w:rPr>
          <w:rFonts w:ascii="Times New Roman" w:eastAsia="Times New Roman" w:hAnsi="Times New Roman" w:cs="Times New Roman"/>
          <w:sz w:val="20"/>
          <w:szCs w:val="20"/>
        </w:rPr>
        <w:t xml:space="preserve">Due to the lack of statistical significance, the results of this case study is hypothesis generating. </w:t>
      </w:r>
      <w:r w:rsidR="00F16307">
        <w:rPr>
          <w:rFonts w:ascii="Times New Roman" w:eastAsia="Times New Roman" w:hAnsi="Times New Roman" w:cs="Times New Roman"/>
          <w:sz w:val="20"/>
          <w:szCs w:val="20"/>
        </w:rPr>
        <w:t xml:space="preserve">The results of </w:t>
      </w:r>
      <w:r w:rsidR="00C721C9">
        <w:rPr>
          <w:rFonts w:ascii="Times New Roman" w:eastAsia="Times New Roman" w:hAnsi="Times New Roman" w:cs="Times New Roman"/>
          <w:sz w:val="20"/>
          <w:szCs w:val="20"/>
        </w:rPr>
        <w:t xml:space="preserve">this case study shows that </w:t>
      </w:r>
      <w:r w:rsidR="00F83113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824ED2">
        <w:rPr>
          <w:rFonts w:ascii="Times New Roman" w:eastAsia="Times New Roman" w:hAnsi="Times New Roman" w:cs="Times New Roman"/>
          <w:sz w:val="20"/>
          <w:szCs w:val="20"/>
        </w:rPr>
        <w:t xml:space="preserve"> dose of </w:t>
      </w:r>
      <w:r w:rsidR="00F83113">
        <w:rPr>
          <w:rFonts w:ascii="Times New Roman" w:eastAsia="Times New Roman" w:hAnsi="Times New Roman" w:cs="Times New Roman"/>
          <w:sz w:val="20"/>
          <w:szCs w:val="20"/>
        </w:rPr>
        <w:t>IV vitamin K &gt; 10 mg did not reduce the incidence of major bleeding events</w:t>
      </w:r>
      <w:r w:rsidR="00BE4EB5">
        <w:rPr>
          <w:rFonts w:ascii="Times New Roman" w:eastAsia="Times New Roman" w:hAnsi="Times New Roman" w:cs="Times New Roman"/>
          <w:sz w:val="20"/>
          <w:szCs w:val="20"/>
        </w:rPr>
        <w:t xml:space="preserve"> in patients with shock liver coagulopathy compared to total dose of IV vitamin K 10 mg . </w:t>
      </w:r>
    </w:p>
    <w:p w14:paraId="0B7AD18F" w14:textId="01C61014" w:rsidR="00592E45" w:rsidRPr="000F1652" w:rsidRDefault="00592E45" w:rsidP="00E841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37A6D" w14:textId="40FF15F7" w:rsidR="00592E45" w:rsidRPr="0080286E" w:rsidRDefault="00592E45" w:rsidP="00E841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28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References: </w:t>
      </w:r>
    </w:p>
    <w:p w14:paraId="37BF0817" w14:textId="25667CD4" w:rsidR="00AB3422" w:rsidRPr="002F2EE7" w:rsidRDefault="00AB3422" w:rsidP="002F2EE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" w:hAnsi="Times" w:cs="Calibri"/>
          <w:sz w:val="20"/>
          <w:szCs w:val="20"/>
        </w:rPr>
      </w:pP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 xml:space="preserve">Bynum TE, </w:t>
      </w:r>
      <w:r w:rsidR="003238EF">
        <w:rPr>
          <w:rFonts w:ascii="Times" w:hAnsi="Times" w:cs="Calibri"/>
          <w:color w:val="212121"/>
          <w:sz w:val="20"/>
          <w:szCs w:val="20"/>
          <w:shd w:val="clear" w:color="auto" w:fill="FFFFFF"/>
        </w:rPr>
        <w:t>et al</w:t>
      </w: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>. </w:t>
      </w:r>
      <w:r w:rsidRPr="002F2EE7">
        <w:rPr>
          <w:rFonts w:ascii="Times" w:hAnsi="Times" w:cs="Calibri"/>
          <w:i/>
          <w:iCs/>
          <w:color w:val="212121"/>
          <w:sz w:val="20"/>
          <w:szCs w:val="20"/>
          <w:shd w:val="clear" w:color="auto" w:fill="FFFFFF"/>
        </w:rPr>
        <w:t>Dig Dis Sci</w:t>
      </w: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>. 1979;24(2):129-135.</w:t>
      </w:r>
    </w:p>
    <w:p w14:paraId="226B5EA2" w14:textId="201F1403" w:rsidR="002F2EE7" w:rsidRPr="002F2EE7" w:rsidRDefault="002F2EE7" w:rsidP="002F2EE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" w:hAnsi="Times" w:cs="Calibri"/>
          <w:sz w:val="20"/>
          <w:szCs w:val="20"/>
        </w:rPr>
      </w:pP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 xml:space="preserve">Henrion J, </w:t>
      </w:r>
      <w:r w:rsidR="003238EF">
        <w:rPr>
          <w:rFonts w:ascii="Times" w:hAnsi="Times" w:cs="Calibri"/>
          <w:color w:val="212121"/>
          <w:sz w:val="20"/>
          <w:szCs w:val="20"/>
          <w:shd w:val="clear" w:color="auto" w:fill="FFFFFF"/>
        </w:rPr>
        <w:t>et al</w:t>
      </w: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>. </w:t>
      </w:r>
      <w:r w:rsidRPr="002F2EE7">
        <w:rPr>
          <w:rFonts w:ascii="Times" w:hAnsi="Times" w:cs="Calibri"/>
          <w:i/>
          <w:iCs/>
          <w:color w:val="212121"/>
          <w:sz w:val="20"/>
          <w:szCs w:val="20"/>
          <w:shd w:val="clear" w:color="auto" w:fill="FFFFFF"/>
        </w:rPr>
        <w:t>Medicine (Baltimore)</w:t>
      </w: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>. 2003;82(6):392-406.</w:t>
      </w:r>
    </w:p>
    <w:p w14:paraId="0C1A2BA5" w14:textId="634F8982" w:rsidR="002F2EE7" w:rsidRPr="002F2EE7" w:rsidRDefault="002F2EE7" w:rsidP="002F2EE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" w:hAnsi="Times" w:cs="Calibri"/>
          <w:sz w:val="20"/>
          <w:szCs w:val="20"/>
        </w:rPr>
      </w:pPr>
      <w:r w:rsidRPr="002F2EE7">
        <w:rPr>
          <w:rFonts w:ascii="Times" w:hAnsi="Times" w:cs="Calibri"/>
          <w:color w:val="303030"/>
          <w:sz w:val="20"/>
          <w:szCs w:val="20"/>
          <w:shd w:val="clear" w:color="auto" w:fill="FFFFFF"/>
        </w:rPr>
        <w:lastRenderedPageBreak/>
        <w:t xml:space="preserve">Harrison MF. </w:t>
      </w:r>
      <w:r w:rsidRPr="002F2EE7">
        <w:rPr>
          <w:rFonts w:ascii="Times" w:hAnsi="Times" w:cs="Calibri"/>
          <w:i/>
          <w:iCs/>
          <w:color w:val="303030"/>
          <w:sz w:val="20"/>
          <w:szCs w:val="20"/>
          <w:shd w:val="clear" w:color="auto" w:fill="FFFFFF"/>
        </w:rPr>
        <w:t>West J Emerg Med</w:t>
      </w:r>
      <w:r w:rsidRPr="002F2EE7">
        <w:rPr>
          <w:rFonts w:ascii="Times" w:hAnsi="Times" w:cs="Calibri"/>
          <w:color w:val="303030"/>
          <w:sz w:val="20"/>
          <w:szCs w:val="20"/>
          <w:shd w:val="clear" w:color="auto" w:fill="FFFFFF"/>
        </w:rPr>
        <w:t>. 2018;19(5):863-871.</w:t>
      </w:r>
    </w:p>
    <w:p w14:paraId="600BD8C3" w14:textId="6AE9FA24" w:rsidR="002F2EE7" w:rsidRPr="002F2EE7" w:rsidRDefault="002F2EE7" w:rsidP="002F2EE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" w:hAnsi="Times" w:cs="Calibri"/>
          <w:sz w:val="20"/>
          <w:szCs w:val="20"/>
        </w:rPr>
      </w:pP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 xml:space="preserve">Tripodi A, </w:t>
      </w:r>
      <w:r w:rsidR="003238EF">
        <w:rPr>
          <w:rFonts w:ascii="Times" w:hAnsi="Times" w:cs="Calibri"/>
          <w:color w:val="212121"/>
          <w:sz w:val="20"/>
          <w:szCs w:val="20"/>
          <w:shd w:val="clear" w:color="auto" w:fill="FFFFFF"/>
        </w:rPr>
        <w:t>et al</w:t>
      </w: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>. </w:t>
      </w:r>
      <w:r w:rsidRPr="002F2EE7">
        <w:rPr>
          <w:rFonts w:ascii="Times" w:hAnsi="Times" w:cs="Calibri"/>
          <w:i/>
          <w:iCs/>
          <w:color w:val="212121"/>
          <w:sz w:val="20"/>
          <w:szCs w:val="20"/>
          <w:shd w:val="clear" w:color="auto" w:fill="FFFFFF"/>
        </w:rPr>
        <w:t>N Engl J Med</w:t>
      </w: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 xml:space="preserve">. 2011;365(2):147-156. </w:t>
      </w:r>
    </w:p>
    <w:p w14:paraId="7D2FD7B6" w14:textId="71D8819A" w:rsidR="002F2EE7" w:rsidRPr="002F2EE7" w:rsidRDefault="002F2EE7" w:rsidP="002F2EE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" w:hAnsi="Times" w:cs="Calibri"/>
          <w:sz w:val="20"/>
          <w:szCs w:val="20"/>
        </w:rPr>
      </w:pP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 xml:space="preserve">Saja MF, </w:t>
      </w:r>
      <w:r w:rsidR="003238EF">
        <w:rPr>
          <w:rFonts w:ascii="Times" w:hAnsi="Times" w:cs="Calibri"/>
          <w:color w:val="212121"/>
          <w:sz w:val="20"/>
          <w:szCs w:val="20"/>
          <w:shd w:val="clear" w:color="auto" w:fill="FFFFFF"/>
        </w:rPr>
        <w:t>et al</w:t>
      </w: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>. </w:t>
      </w:r>
      <w:r w:rsidRPr="002F2EE7">
        <w:rPr>
          <w:rFonts w:ascii="Times" w:hAnsi="Times" w:cs="Calibri"/>
          <w:i/>
          <w:iCs/>
          <w:color w:val="212121"/>
          <w:sz w:val="20"/>
          <w:szCs w:val="20"/>
          <w:shd w:val="clear" w:color="auto" w:fill="FFFFFF"/>
        </w:rPr>
        <w:t>Blood Coagul Fibrinolysis</w:t>
      </w:r>
      <w:r w:rsidRPr="002F2EE7">
        <w:rPr>
          <w:rFonts w:ascii="Times" w:hAnsi="Times" w:cs="Calibri"/>
          <w:color w:val="212121"/>
          <w:sz w:val="20"/>
          <w:szCs w:val="20"/>
          <w:shd w:val="clear" w:color="auto" w:fill="FFFFFF"/>
        </w:rPr>
        <w:t xml:space="preserve">. 2013;24(1):10-17. </w:t>
      </w:r>
    </w:p>
    <w:p w14:paraId="368B87BD" w14:textId="2423D001" w:rsidR="0006291F" w:rsidRPr="0006291F" w:rsidRDefault="00592E45" w:rsidP="000629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O'Leary JG, </w:t>
      </w:r>
      <w:r w:rsidR="003238EF">
        <w:rPr>
          <w:rFonts w:ascii="Times New Roman" w:eastAsia="Times New Roman" w:hAnsi="Times New Roman" w:cs="Times New Roman"/>
          <w:sz w:val="20"/>
          <w:szCs w:val="20"/>
        </w:rPr>
        <w:t>et al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238EF">
        <w:rPr>
          <w:rFonts w:ascii="Times New Roman" w:eastAsia="Times New Roman" w:hAnsi="Times New Roman" w:cs="Times New Roman"/>
          <w:i/>
          <w:sz w:val="20"/>
          <w:szCs w:val="20"/>
        </w:rPr>
        <w:t>Gastroenterology</w:t>
      </w:r>
      <w:r w:rsidRPr="000F1652">
        <w:rPr>
          <w:rFonts w:ascii="Times New Roman" w:eastAsia="Times New Roman" w:hAnsi="Times New Roman" w:cs="Times New Roman"/>
          <w:sz w:val="20"/>
          <w:szCs w:val="20"/>
        </w:rPr>
        <w:t>. 2019;157(1):34-43.e1.</w:t>
      </w:r>
    </w:p>
    <w:sectPr w:rsidR="0006291F" w:rsidRPr="000629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5E"/>
    <w:multiLevelType w:val="hybridMultilevel"/>
    <w:tmpl w:val="E4D0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BC5"/>
    <w:multiLevelType w:val="hybridMultilevel"/>
    <w:tmpl w:val="0C1C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7C"/>
    <w:rsid w:val="00001BF9"/>
    <w:rsid w:val="00017DBC"/>
    <w:rsid w:val="0006291F"/>
    <w:rsid w:val="000A3185"/>
    <w:rsid w:val="000A6AB5"/>
    <w:rsid w:val="000F1652"/>
    <w:rsid w:val="000F2849"/>
    <w:rsid w:val="00120722"/>
    <w:rsid w:val="0013654E"/>
    <w:rsid w:val="001402A4"/>
    <w:rsid w:val="001505DE"/>
    <w:rsid w:val="001533F4"/>
    <w:rsid w:val="00163EF1"/>
    <w:rsid w:val="0016566A"/>
    <w:rsid w:val="001A532E"/>
    <w:rsid w:val="001A630E"/>
    <w:rsid w:val="001B6474"/>
    <w:rsid w:val="001D4C6C"/>
    <w:rsid w:val="00202123"/>
    <w:rsid w:val="00245C75"/>
    <w:rsid w:val="0026382B"/>
    <w:rsid w:val="00266650"/>
    <w:rsid w:val="00266FDC"/>
    <w:rsid w:val="00287F95"/>
    <w:rsid w:val="002A01D9"/>
    <w:rsid w:val="002D561E"/>
    <w:rsid w:val="002E1232"/>
    <w:rsid w:val="002F1DF0"/>
    <w:rsid w:val="002F2EE7"/>
    <w:rsid w:val="002F4A3A"/>
    <w:rsid w:val="002F4A99"/>
    <w:rsid w:val="0031577C"/>
    <w:rsid w:val="00317903"/>
    <w:rsid w:val="00322F0F"/>
    <w:rsid w:val="003238EF"/>
    <w:rsid w:val="00330D2E"/>
    <w:rsid w:val="003471F7"/>
    <w:rsid w:val="003575C9"/>
    <w:rsid w:val="00363334"/>
    <w:rsid w:val="00375271"/>
    <w:rsid w:val="003831E8"/>
    <w:rsid w:val="00391F20"/>
    <w:rsid w:val="00395D4E"/>
    <w:rsid w:val="003D7C80"/>
    <w:rsid w:val="003E2658"/>
    <w:rsid w:val="003E302D"/>
    <w:rsid w:val="00456ACD"/>
    <w:rsid w:val="00461D7F"/>
    <w:rsid w:val="004B00C6"/>
    <w:rsid w:val="004B48A7"/>
    <w:rsid w:val="004D0F68"/>
    <w:rsid w:val="004E6BF8"/>
    <w:rsid w:val="004E7927"/>
    <w:rsid w:val="004F0E99"/>
    <w:rsid w:val="00514A32"/>
    <w:rsid w:val="005365B3"/>
    <w:rsid w:val="0055229F"/>
    <w:rsid w:val="00566319"/>
    <w:rsid w:val="00592E45"/>
    <w:rsid w:val="005B2912"/>
    <w:rsid w:val="005B3FFC"/>
    <w:rsid w:val="005C29C2"/>
    <w:rsid w:val="005E3327"/>
    <w:rsid w:val="00604891"/>
    <w:rsid w:val="00625D8C"/>
    <w:rsid w:val="00654695"/>
    <w:rsid w:val="00670A18"/>
    <w:rsid w:val="0067100C"/>
    <w:rsid w:val="0069010B"/>
    <w:rsid w:val="006A3F62"/>
    <w:rsid w:val="006A47CE"/>
    <w:rsid w:val="006B261B"/>
    <w:rsid w:val="006F1C06"/>
    <w:rsid w:val="006F2B1D"/>
    <w:rsid w:val="007209BE"/>
    <w:rsid w:val="007460A0"/>
    <w:rsid w:val="007604E0"/>
    <w:rsid w:val="00762EEF"/>
    <w:rsid w:val="007654EA"/>
    <w:rsid w:val="00783A84"/>
    <w:rsid w:val="007A595F"/>
    <w:rsid w:val="007B7243"/>
    <w:rsid w:val="0080286E"/>
    <w:rsid w:val="008109A6"/>
    <w:rsid w:val="00824ED2"/>
    <w:rsid w:val="00831022"/>
    <w:rsid w:val="008405D7"/>
    <w:rsid w:val="00840FE4"/>
    <w:rsid w:val="00847330"/>
    <w:rsid w:val="008474E6"/>
    <w:rsid w:val="00850E19"/>
    <w:rsid w:val="00853286"/>
    <w:rsid w:val="008B562E"/>
    <w:rsid w:val="008B6252"/>
    <w:rsid w:val="008B70AA"/>
    <w:rsid w:val="008C710E"/>
    <w:rsid w:val="008E125A"/>
    <w:rsid w:val="009860EE"/>
    <w:rsid w:val="009B013B"/>
    <w:rsid w:val="009C6211"/>
    <w:rsid w:val="00A029C2"/>
    <w:rsid w:val="00A178FA"/>
    <w:rsid w:val="00A30C70"/>
    <w:rsid w:val="00A36252"/>
    <w:rsid w:val="00A36591"/>
    <w:rsid w:val="00A64950"/>
    <w:rsid w:val="00AA4A03"/>
    <w:rsid w:val="00AB1B8B"/>
    <w:rsid w:val="00AB3422"/>
    <w:rsid w:val="00AC01D9"/>
    <w:rsid w:val="00AD5232"/>
    <w:rsid w:val="00AE0EDF"/>
    <w:rsid w:val="00B04C68"/>
    <w:rsid w:val="00B22D94"/>
    <w:rsid w:val="00B46D05"/>
    <w:rsid w:val="00B75225"/>
    <w:rsid w:val="00B83664"/>
    <w:rsid w:val="00BB028C"/>
    <w:rsid w:val="00BB1E7B"/>
    <w:rsid w:val="00BB43D1"/>
    <w:rsid w:val="00BC7246"/>
    <w:rsid w:val="00BD3199"/>
    <w:rsid w:val="00BE06AE"/>
    <w:rsid w:val="00BE4EB5"/>
    <w:rsid w:val="00BF64A6"/>
    <w:rsid w:val="00C02CEB"/>
    <w:rsid w:val="00C14114"/>
    <w:rsid w:val="00C45A5A"/>
    <w:rsid w:val="00C663BD"/>
    <w:rsid w:val="00C66CFE"/>
    <w:rsid w:val="00C721C9"/>
    <w:rsid w:val="00C87414"/>
    <w:rsid w:val="00CA1A73"/>
    <w:rsid w:val="00CA4CEE"/>
    <w:rsid w:val="00CB4A30"/>
    <w:rsid w:val="00CC3C2E"/>
    <w:rsid w:val="00CE1249"/>
    <w:rsid w:val="00D126F7"/>
    <w:rsid w:val="00D32667"/>
    <w:rsid w:val="00D47BA3"/>
    <w:rsid w:val="00D648CC"/>
    <w:rsid w:val="00D97AF7"/>
    <w:rsid w:val="00DA0F3C"/>
    <w:rsid w:val="00DA1601"/>
    <w:rsid w:val="00DB5DAC"/>
    <w:rsid w:val="00DC206E"/>
    <w:rsid w:val="00DC3018"/>
    <w:rsid w:val="00DE50D6"/>
    <w:rsid w:val="00DE755D"/>
    <w:rsid w:val="00DF3DDD"/>
    <w:rsid w:val="00E11E1E"/>
    <w:rsid w:val="00E14902"/>
    <w:rsid w:val="00E71ED0"/>
    <w:rsid w:val="00E841F2"/>
    <w:rsid w:val="00EB611D"/>
    <w:rsid w:val="00EC2E11"/>
    <w:rsid w:val="00EF5878"/>
    <w:rsid w:val="00F13099"/>
    <w:rsid w:val="00F14EF0"/>
    <w:rsid w:val="00F16307"/>
    <w:rsid w:val="00F35248"/>
    <w:rsid w:val="00F4270C"/>
    <w:rsid w:val="00F83113"/>
    <w:rsid w:val="00FB0ABA"/>
    <w:rsid w:val="00FC30BD"/>
    <w:rsid w:val="00FD078F"/>
    <w:rsid w:val="00FF00BA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5CA8"/>
  <w15:docId w15:val="{428E798B-4212-3647-AAFA-EA6AEA3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2E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342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96C8A263747BF1707360C4C0249" ma:contentTypeVersion="0" ma:contentTypeDescription="Create a new document." ma:contentTypeScope="" ma:versionID="139abc6fcdb762dee32bc797780d0f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28c5a298fbae85148080e388ff2f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74BB-C93C-48DB-9794-6C420206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787B0-242D-4EB5-B753-974AA258C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C256B-7883-40B9-A73F-F51261C9DCA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4F96C3-2EC4-422D-A6EE-A4B05798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Debbie</dc:creator>
  <cp:lastModifiedBy>Chu, Minjung</cp:lastModifiedBy>
  <cp:revision>3</cp:revision>
  <dcterms:created xsi:type="dcterms:W3CDTF">2022-05-02T20:53:00Z</dcterms:created>
  <dcterms:modified xsi:type="dcterms:W3CDTF">2022-05-04T16:42:00Z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0x0101000A4AF96C8A263747BF1707360C4C0249</vt:lpwstr>
  </property>
  <property fmtid="{D5CDD505-2E9C-101B-9397-08002B2CF9AE}" pid="3" name="IsMyDocuments">
    <vt:bool>true</vt:bool>
  </property>
</Properties>
</file>