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65D6" w14:textId="1362BBB5" w:rsidR="00F11E75" w:rsidRPr="00692A53" w:rsidRDefault="00F11E75" w:rsidP="119BB805">
      <w:pPr>
        <w:tabs>
          <w:tab w:val="left" w:pos="2520"/>
        </w:tabs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119BB805">
        <w:rPr>
          <w:rFonts w:ascii="Calibri" w:hAnsi="Calibri" w:cs="Calibri"/>
          <w:b/>
          <w:bCs/>
          <w:color w:val="000000" w:themeColor="text1"/>
          <w:sz w:val="22"/>
          <w:szCs w:val="22"/>
        </w:rPr>
        <w:t>Impact of Pharmacist-Driven Post-Intubation Sedation and Hypotension Management in the Emergency Department</w:t>
      </w:r>
    </w:p>
    <w:p w14:paraId="03560AB5" w14:textId="77777777" w:rsidR="00F11E75" w:rsidRPr="00692A53" w:rsidRDefault="00F11E75" w:rsidP="119BB805">
      <w:pPr>
        <w:tabs>
          <w:tab w:val="left" w:pos="2520"/>
        </w:tabs>
        <w:rPr>
          <w:rFonts w:ascii="Calibri" w:eastAsia="Times New Roman" w:hAnsi="Calibri" w:cs="Calibri"/>
          <w:sz w:val="22"/>
          <w:szCs w:val="22"/>
        </w:rPr>
      </w:pPr>
    </w:p>
    <w:p w14:paraId="1082EACF" w14:textId="195394B4" w:rsidR="00F11E75" w:rsidRDefault="00F11E75" w:rsidP="119BB805">
      <w:pPr>
        <w:tabs>
          <w:tab w:val="left" w:pos="252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119BB805">
        <w:rPr>
          <w:rFonts w:ascii="Calibri" w:eastAsia="Times New Roman" w:hAnsi="Calibri" w:cs="Calibri"/>
          <w:b/>
          <w:bCs/>
          <w:sz w:val="22"/>
          <w:szCs w:val="22"/>
        </w:rPr>
        <w:t xml:space="preserve">Authors: </w:t>
      </w:r>
      <w:r w:rsidRPr="119BB805">
        <w:rPr>
          <w:rFonts w:ascii="Calibri" w:hAnsi="Calibri" w:cs="Calibri"/>
          <w:color w:val="000000" w:themeColor="text1"/>
          <w:sz w:val="22"/>
          <w:szCs w:val="22"/>
        </w:rPr>
        <w:t>Melissa Catalano, PharmD</w:t>
      </w:r>
      <w:r w:rsidR="0084302D" w:rsidRPr="119BB805">
        <w:rPr>
          <w:rFonts w:ascii="Calibri" w:hAnsi="Calibri" w:cs="Calibri"/>
          <w:color w:val="000000" w:themeColor="text1"/>
          <w:sz w:val="22"/>
          <w:szCs w:val="22"/>
        </w:rPr>
        <w:t>;</w:t>
      </w:r>
      <w:r w:rsidRPr="119BB80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119BB805">
        <w:rPr>
          <w:rFonts w:ascii="Calibri" w:hAnsi="Calibri" w:cs="Calibri"/>
          <w:color w:val="000000" w:themeColor="text1"/>
          <w:sz w:val="22"/>
          <w:szCs w:val="22"/>
        </w:rPr>
        <w:t xml:space="preserve">Regan Porter, PharmD, BCPS, CPP; Kevin Lynch, PharmD, BCPS, CPP; </w:t>
      </w:r>
      <w:proofErr w:type="spellStart"/>
      <w:r w:rsidRPr="119BB805">
        <w:rPr>
          <w:rFonts w:ascii="Calibri" w:hAnsi="Calibri" w:cs="Calibri"/>
          <w:color w:val="000000" w:themeColor="text1"/>
          <w:sz w:val="22"/>
          <w:szCs w:val="22"/>
        </w:rPr>
        <w:t>Audreanna</w:t>
      </w:r>
      <w:proofErr w:type="spellEnd"/>
      <w:r w:rsidRPr="119BB80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119BB805">
        <w:rPr>
          <w:rFonts w:ascii="Calibri" w:hAnsi="Calibri" w:cs="Calibri"/>
          <w:color w:val="000000" w:themeColor="text1"/>
          <w:sz w:val="22"/>
          <w:szCs w:val="22"/>
        </w:rPr>
        <w:t>Sahmanovic</w:t>
      </w:r>
      <w:proofErr w:type="spellEnd"/>
      <w:r w:rsidRPr="119BB805">
        <w:rPr>
          <w:rFonts w:ascii="Calibri" w:hAnsi="Calibri" w:cs="Calibri"/>
          <w:color w:val="000000" w:themeColor="text1"/>
          <w:sz w:val="22"/>
          <w:szCs w:val="22"/>
        </w:rPr>
        <w:t xml:space="preserve">, PharmD, BCPS, CPP; Jonathan Worley, PharmD, BCPS, CPP; Morgan Tobin, PharmD, BCCCP; </w:t>
      </w:r>
      <w:proofErr w:type="spellStart"/>
      <w:r w:rsidRPr="119BB805">
        <w:rPr>
          <w:rFonts w:ascii="Calibri" w:hAnsi="Calibri" w:cs="Calibri"/>
          <w:color w:val="000000" w:themeColor="text1"/>
          <w:sz w:val="22"/>
          <w:szCs w:val="22"/>
        </w:rPr>
        <w:t>Charleen</w:t>
      </w:r>
      <w:proofErr w:type="spellEnd"/>
      <w:r w:rsidRPr="119BB805">
        <w:rPr>
          <w:rFonts w:ascii="Calibri" w:hAnsi="Calibri" w:cs="Calibri"/>
          <w:color w:val="000000" w:themeColor="text1"/>
          <w:sz w:val="22"/>
          <w:szCs w:val="22"/>
        </w:rPr>
        <w:t xml:space="preserve"> Melton, PharmD, BCCCP; Patrick </w:t>
      </w:r>
      <w:proofErr w:type="spellStart"/>
      <w:r w:rsidRPr="119BB805">
        <w:rPr>
          <w:rFonts w:ascii="Calibri" w:hAnsi="Calibri" w:cs="Calibri"/>
          <w:color w:val="000000" w:themeColor="text1"/>
          <w:sz w:val="22"/>
          <w:szCs w:val="22"/>
        </w:rPr>
        <w:t>Passaretti</w:t>
      </w:r>
      <w:proofErr w:type="spellEnd"/>
      <w:r w:rsidRPr="119BB805">
        <w:rPr>
          <w:rFonts w:ascii="Calibri" w:hAnsi="Calibri" w:cs="Calibri"/>
          <w:color w:val="000000" w:themeColor="text1"/>
          <w:sz w:val="22"/>
          <w:szCs w:val="22"/>
        </w:rPr>
        <w:t>, PharmD, BCPS, CPP</w:t>
      </w:r>
      <w:r w:rsidR="007F2CBD" w:rsidRPr="119BB805">
        <w:rPr>
          <w:rFonts w:ascii="Calibri" w:hAnsi="Calibri" w:cs="Calibri"/>
          <w:color w:val="000000" w:themeColor="text1"/>
          <w:sz w:val="22"/>
          <w:szCs w:val="22"/>
        </w:rPr>
        <w:t>;</w:t>
      </w:r>
      <w:r w:rsidRPr="119BB805">
        <w:rPr>
          <w:rFonts w:ascii="Calibri" w:hAnsi="Calibri" w:cs="Calibri"/>
          <w:color w:val="000000" w:themeColor="text1"/>
          <w:sz w:val="22"/>
          <w:szCs w:val="22"/>
        </w:rPr>
        <w:t xml:space="preserve"> Katie McLaurin, PharmD</w:t>
      </w:r>
    </w:p>
    <w:p w14:paraId="302A6864" w14:textId="0406EF4E" w:rsidR="00F11E75" w:rsidRDefault="00F11E75" w:rsidP="119BB805">
      <w:pPr>
        <w:spacing w:before="120" w:afterAutospacing="1"/>
        <w:rPr>
          <w:rFonts w:ascii="Calibri" w:eastAsia="Times New Roman" w:hAnsi="Calibri" w:cs="Calibri"/>
          <w:sz w:val="22"/>
          <w:szCs w:val="22"/>
        </w:rPr>
      </w:pPr>
      <w:r w:rsidRPr="119BB805">
        <w:rPr>
          <w:rFonts w:ascii="Calibri" w:eastAsia="Times New Roman" w:hAnsi="Calibri" w:cs="Calibri"/>
          <w:b/>
          <w:bCs/>
          <w:sz w:val="22"/>
          <w:szCs w:val="22"/>
        </w:rPr>
        <w:t>Practice Site:</w:t>
      </w:r>
      <w:r w:rsidRPr="119BB805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119BB805">
        <w:rPr>
          <w:rFonts w:ascii="Calibri" w:eastAsia="Times New Roman" w:hAnsi="Calibri" w:cs="Calibri"/>
          <w:sz w:val="22"/>
          <w:szCs w:val="22"/>
        </w:rPr>
        <w:t>CaroMont</w:t>
      </w:r>
      <w:proofErr w:type="spellEnd"/>
      <w:r w:rsidRPr="119BB805">
        <w:rPr>
          <w:rFonts w:ascii="Calibri" w:eastAsia="Times New Roman" w:hAnsi="Calibri" w:cs="Calibri"/>
          <w:sz w:val="22"/>
          <w:szCs w:val="22"/>
        </w:rPr>
        <w:t xml:space="preserve"> Regional Medical Center; Gastonia, NC </w:t>
      </w:r>
    </w:p>
    <w:p w14:paraId="6E710C69" w14:textId="4332ADC9" w:rsidR="00F11E75" w:rsidRDefault="00F11E75" w:rsidP="119BB805">
      <w:pPr>
        <w:spacing w:before="120" w:afterAutospacing="1"/>
        <w:rPr>
          <w:rFonts w:ascii="Calibri" w:eastAsia="Times New Roman" w:hAnsi="Calibri" w:cs="Calibri"/>
          <w:sz w:val="22"/>
          <w:szCs w:val="22"/>
        </w:rPr>
      </w:pPr>
      <w:r w:rsidRPr="119BB805">
        <w:rPr>
          <w:rFonts w:ascii="Calibri" w:eastAsia="Times New Roman" w:hAnsi="Calibri" w:cs="Calibri"/>
          <w:b/>
          <w:bCs/>
          <w:sz w:val="22"/>
          <w:szCs w:val="22"/>
        </w:rPr>
        <w:t>Background:</w:t>
      </w:r>
      <w:r w:rsidRPr="119BB805">
        <w:rPr>
          <w:rFonts w:ascii="Calibri" w:eastAsia="Times New Roman" w:hAnsi="Calibri" w:cs="Calibri"/>
          <w:sz w:val="22"/>
          <w:szCs w:val="22"/>
        </w:rPr>
        <w:t xml:space="preserve"> </w:t>
      </w:r>
      <w:r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Emergency medicine providers often manage intubated and mechanically ventilated patients in the emergency department (ED) while they await admission to the intensive care unit (ICU). </w:t>
      </w:r>
      <w:r w:rsidR="003244ED"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Although the Guidelines for the Prevention and Management of Pain, Agitation/Sedation, Delirium, Immobility, and Sleep Disruption (PADIS) in Adult Patients in the ICU recommend both analgesic and sedative medications for mechanically intubated patients, pain and sedation are commonly undertreated in the ED. </w:t>
      </w:r>
      <w:r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Published data evaluating the role of ED clinical pharmacists in post-intubation </w:t>
      </w:r>
      <w:proofErr w:type="spellStart"/>
      <w:r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analgosedation</w:t>
      </w:r>
      <w:proofErr w:type="spellEnd"/>
      <w:r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highlight significant improvement in likelihood of appropriate </w:t>
      </w:r>
      <w:proofErr w:type="spellStart"/>
      <w:r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analgosedative</w:t>
      </w:r>
      <w:proofErr w:type="spellEnd"/>
      <w:r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selection and time-to-administration.</w:t>
      </w:r>
    </w:p>
    <w:p w14:paraId="180691E3" w14:textId="49B4402C" w:rsidR="00F11E75" w:rsidRDefault="00F11E75" w:rsidP="119BB805">
      <w:pPr>
        <w:spacing w:before="120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119BB805">
        <w:rPr>
          <w:rFonts w:ascii="Calibri" w:eastAsia="Times New Roman" w:hAnsi="Calibri" w:cs="Calibri"/>
          <w:b/>
          <w:bCs/>
          <w:sz w:val="22"/>
          <w:szCs w:val="22"/>
        </w:rPr>
        <w:t xml:space="preserve">Objective: </w:t>
      </w:r>
      <w:r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The purpose of this study is to evaluate time</w:t>
      </w:r>
      <w:r w:rsidR="007F2CBD"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</w:t>
      </w:r>
      <w:r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to</w:t>
      </w:r>
      <w:r w:rsidR="007F2CBD"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</w:t>
      </w:r>
      <w:proofErr w:type="spellStart"/>
      <w:r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analgosedation</w:t>
      </w:r>
      <w:proofErr w:type="spellEnd"/>
      <w:r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in mechanically ventilated patients after implementation of a pharmacist-driven protocol for post-intubation management. </w:t>
      </w:r>
      <w:r w:rsidR="007F2CBD"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The primary endpoint was administration of both a sedative and analgesic</w:t>
      </w:r>
      <w:r w:rsidR="00EC2060"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agent</w:t>
      </w:r>
      <w:r w:rsidR="007F2CBD"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within 15 minutes of intubation. Secondary endpoints included administration of both a sedative and analgesic within 30 minutes of intubation, achievement of goal </w:t>
      </w:r>
      <w:r w:rsidR="00BC00E1" w:rsidRPr="119BB805">
        <w:rPr>
          <w:rStyle w:val="normaltextrun"/>
          <w:color w:val="000000" w:themeColor="text1"/>
          <w:sz w:val="22"/>
          <w:szCs w:val="22"/>
        </w:rPr>
        <w:t>Richmond Agitation Sedation Scale (RASS)</w:t>
      </w:r>
      <w:r w:rsidR="007F2CBD"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score within 45 and 90 minutes of intubation, achievement of goal </w:t>
      </w:r>
      <w:r w:rsidR="00BC00E1" w:rsidRPr="119BB805">
        <w:rPr>
          <w:rStyle w:val="normaltextrun"/>
          <w:color w:val="000000" w:themeColor="text1"/>
          <w:sz w:val="22"/>
          <w:szCs w:val="22"/>
        </w:rPr>
        <w:t>Critical Care Pain Observation Tool (</w:t>
      </w:r>
      <w:r w:rsidR="007F2CBD"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CPOT</w:t>
      </w:r>
      <w:r w:rsidR="00BC00E1"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)</w:t>
      </w:r>
      <w:r w:rsidR="007F2CBD"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score within 45 and 90 minutes of intubation, achievement of goal </w:t>
      </w:r>
      <w:r w:rsidR="00BC00E1" w:rsidRPr="119BB805">
        <w:rPr>
          <w:rStyle w:val="normaltextrun"/>
          <w:color w:val="000000" w:themeColor="text1"/>
          <w:sz w:val="22"/>
          <w:szCs w:val="22"/>
        </w:rPr>
        <w:t>mean arterial pressure (MAP)</w:t>
      </w:r>
      <w:r w:rsidR="007F2CBD"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within 45 minutes of intubation, utilization of vecuronium post-intubation, adherence to protocolized </w:t>
      </w:r>
      <w:proofErr w:type="spellStart"/>
      <w:r w:rsidR="007F2CBD"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analgosedative</w:t>
      </w:r>
      <w:proofErr w:type="spellEnd"/>
      <w:r w:rsidR="007F2CBD"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agents, and adherence to approved titration parameters of continuous infusion sedative agent(s) within the first 60 minutes post</w:t>
      </w:r>
      <w:r w:rsidR="00EC2060"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</w:t>
      </w:r>
      <w:r w:rsidR="007F2CBD" w:rsidRPr="119BB80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intubation. </w:t>
      </w:r>
    </w:p>
    <w:p w14:paraId="65D07314" w14:textId="38C0480C" w:rsidR="00F11E75" w:rsidRDefault="00F11E75" w:rsidP="119BB805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119BB805">
        <w:rPr>
          <w:rFonts w:ascii="Calibri" w:eastAsia="Times New Roman" w:hAnsi="Calibri" w:cs="Calibri"/>
          <w:b/>
          <w:bCs/>
          <w:sz w:val="22"/>
          <w:szCs w:val="22"/>
        </w:rPr>
        <w:t>Methods:</w:t>
      </w:r>
      <w:r w:rsidRPr="119BB805">
        <w:rPr>
          <w:rFonts w:ascii="Calibri" w:eastAsia="Times New Roman" w:hAnsi="Calibri" w:cs="Calibri"/>
          <w:sz w:val="22"/>
          <w:szCs w:val="22"/>
        </w:rPr>
        <w:t xml:space="preserve"> </w:t>
      </w:r>
      <w:r w:rsidR="003244ED" w:rsidRPr="119BB805">
        <w:rPr>
          <w:rFonts w:ascii="Calibri" w:hAnsi="Calibri" w:cs="Calibri"/>
          <w:sz w:val="22"/>
          <w:szCs w:val="22"/>
        </w:rPr>
        <w:t xml:space="preserve">This study is designed to </w:t>
      </w:r>
      <w:r w:rsidR="007F2CBD" w:rsidRPr="119BB805">
        <w:rPr>
          <w:rFonts w:ascii="Calibri" w:hAnsi="Calibri" w:cs="Calibri"/>
          <w:sz w:val="22"/>
          <w:szCs w:val="22"/>
        </w:rPr>
        <w:t xml:space="preserve">prospectively </w:t>
      </w:r>
      <w:r w:rsidR="003244ED" w:rsidRPr="119BB805">
        <w:rPr>
          <w:rFonts w:ascii="Calibri" w:hAnsi="Calibri" w:cs="Calibri"/>
          <w:sz w:val="22"/>
          <w:szCs w:val="22"/>
        </w:rPr>
        <w:t xml:space="preserve">analyze the impact of a pharmacist-driven post-intubation </w:t>
      </w:r>
      <w:proofErr w:type="spellStart"/>
      <w:r w:rsidR="003244ED" w:rsidRPr="119BB805">
        <w:rPr>
          <w:rFonts w:ascii="Calibri" w:hAnsi="Calibri" w:cs="Calibri"/>
          <w:sz w:val="22"/>
          <w:szCs w:val="22"/>
        </w:rPr>
        <w:t>analgosedation</w:t>
      </w:r>
      <w:proofErr w:type="spellEnd"/>
      <w:r w:rsidR="003244ED" w:rsidRPr="119BB805">
        <w:rPr>
          <w:rFonts w:ascii="Calibri" w:hAnsi="Calibri" w:cs="Calibri"/>
          <w:sz w:val="22"/>
          <w:szCs w:val="22"/>
        </w:rPr>
        <w:t xml:space="preserve"> and hypotension management protocol implemented in March 2022</w:t>
      </w:r>
      <w:r w:rsidR="007F2CBD" w:rsidRPr="119BB805">
        <w:rPr>
          <w:rFonts w:ascii="Calibri" w:hAnsi="Calibri" w:cs="Calibri"/>
          <w:sz w:val="22"/>
          <w:szCs w:val="22"/>
        </w:rPr>
        <w:t>, compared to a retrospective analysis of patients receiving post</w:t>
      </w:r>
      <w:r w:rsidR="00EC2060" w:rsidRPr="119BB805">
        <w:rPr>
          <w:rFonts w:ascii="Calibri" w:hAnsi="Calibri" w:cs="Calibri"/>
          <w:sz w:val="22"/>
          <w:szCs w:val="22"/>
        </w:rPr>
        <w:t>-</w:t>
      </w:r>
      <w:r w:rsidR="007F2CBD" w:rsidRPr="119BB805">
        <w:rPr>
          <w:rFonts w:ascii="Calibri" w:hAnsi="Calibri" w:cs="Calibri"/>
          <w:sz w:val="22"/>
          <w:szCs w:val="22"/>
        </w:rPr>
        <w:t>intubation sedation prior to the implementation of the protocol</w:t>
      </w:r>
      <w:r w:rsidR="003244ED" w:rsidRPr="119BB805">
        <w:rPr>
          <w:rFonts w:ascii="Calibri" w:hAnsi="Calibri" w:cs="Calibri"/>
          <w:sz w:val="22"/>
          <w:szCs w:val="22"/>
        </w:rPr>
        <w:t>. Patients were included if they were at least 18 years old, intubated in the ED, and the ED physician consulted ED clinical pharmacy for post-</w:t>
      </w:r>
      <w:r w:rsidR="007F2CBD" w:rsidRPr="119BB805">
        <w:rPr>
          <w:rFonts w:ascii="Calibri" w:hAnsi="Calibri" w:cs="Calibri"/>
          <w:sz w:val="22"/>
          <w:szCs w:val="22"/>
        </w:rPr>
        <w:t>intubation</w:t>
      </w:r>
      <w:r w:rsidR="003244ED" w:rsidRPr="119BB805">
        <w:rPr>
          <w:rFonts w:ascii="Calibri" w:hAnsi="Calibri" w:cs="Calibri"/>
          <w:sz w:val="22"/>
          <w:szCs w:val="22"/>
        </w:rPr>
        <w:t xml:space="preserve"> management. Patients receiving massive transfusion per facility protocol, </w:t>
      </w:r>
      <w:r w:rsidR="001F20ED" w:rsidRPr="119BB805">
        <w:rPr>
          <w:rFonts w:ascii="Calibri" w:hAnsi="Calibri" w:cs="Calibri"/>
          <w:sz w:val="22"/>
          <w:szCs w:val="22"/>
        </w:rPr>
        <w:t>with alternative MAP goals per ED provider</w:t>
      </w:r>
      <w:r w:rsidR="007F2CBD" w:rsidRPr="119BB805">
        <w:rPr>
          <w:rFonts w:ascii="Calibri" w:hAnsi="Calibri" w:cs="Calibri"/>
          <w:sz w:val="22"/>
          <w:szCs w:val="22"/>
        </w:rPr>
        <w:t xml:space="preserve"> discretion</w:t>
      </w:r>
      <w:r w:rsidR="001F20ED" w:rsidRPr="119BB805">
        <w:rPr>
          <w:rFonts w:ascii="Calibri" w:hAnsi="Calibri" w:cs="Calibri"/>
          <w:sz w:val="22"/>
          <w:szCs w:val="22"/>
        </w:rPr>
        <w:t>, receiving IV antihypertensives, post</w:t>
      </w:r>
      <w:r w:rsidR="007F2CBD" w:rsidRPr="119BB805">
        <w:rPr>
          <w:rFonts w:ascii="Calibri" w:hAnsi="Calibri" w:cs="Calibri"/>
          <w:sz w:val="22"/>
          <w:szCs w:val="22"/>
        </w:rPr>
        <w:t>-</w:t>
      </w:r>
      <w:r w:rsidR="001F20ED" w:rsidRPr="119BB805">
        <w:rPr>
          <w:rFonts w:ascii="Calibri" w:hAnsi="Calibri" w:cs="Calibri"/>
          <w:sz w:val="22"/>
          <w:szCs w:val="22"/>
        </w:rPr>
        <w:t xml:space="preserve">cardiac arrest, pregnant, or incarcerated were excluded from the study. </w:t>
      </w:r>
      <w:r w:rsidR="007F2CBD" w:rsidRPr="119BB805">
        <w:rPr>
          <w:rFonts w:ascii="Calibri" w:hAnsi="Calibri" w:cs="Calibri"/>
          <w:sz w:val="22"/>
          <w:szCs w:val="22"/>
        </w:rPr>
        <w:t>ED p</w:t>
      </w:r>
      <w:r w:rsidR="001F20ED" w:rsidRPr="119BB805">
        <w:rPr>
          <w:rFonts w:ascii="Calibri" w:hAnsi="Calibri" w:cs="Calibri"/>
          <w:sz w:val="22"/>
          <w:szCs w:val="22"/>
        </w:rPr>
        <w:t>harmacists managed patients via one of two protocol</w:t>
      </w:r>
      <w:r w:rsidR="007F2CBD" w:rsidRPr="119BB805">
        <w:rPr>
          <w:rFonts w:ascii="Calibri" w:hAnsi="Calibri" w:cs="Calibri"/>
          <w:sz w:val="22"/>
          <w:szCs w:val="22"/>
        </w:rPr>
        <w:t>ized</w:t>
      </w:r>
      <w:r w:rsidR="001F20ED" w:rsidRPr="119BB805">
        <w:rPr>
          <w:rFonts w:ascii="Calibri" w:hAnsi="Calibri" w:cs="Calibri"/>
          <w:sz w:val="22"/>
          <w:szCs w:val="22"/>
        </w:rPr>
        <w:t xml:space="preserve"> algorithms: </w:t>
      </w:r>
      <w:r w:rsidR="001F20ED" w:rsidRPr="119BB805">
        <w:rPr>
          <w:rFonts w:ascii="Calibri" w:hAnsi="Calibri" w:cs="Calibri"/>
          <w:color w:val="000000" w:themeColor="text1"/>
          <w:sz w:val="22"/>
          <w:szCs w:val="22"/>
        </w:rPr>
        <w:t xml:space="preserve">(1) </w:t>
      </w:r>
      <w:r w:rsidR="001F20ED" w:rsidRPr="119BB805">
        <w:rPr>
          <w:rFonts w:ascii="Calibri" w:hAnsi="Calibri" w:cs="Calibri"/>
          <w:sz w:val="22"/>
          <w:szCs w:val="22"/>
        </w:rPr>
        <w:t>SBP ≥ 90 mmHg and/or MAP ≥ 65 mmHg (2) SBP &lt; 90 mmHg and/or MAP &lt; 65 mmHg</w:t>
      </w:r>
      <w:r w:rsidR="007F2CBD" w:rsidRPr="119BB805">
        <w:rPr>
          <w:rFonts w:ascii="Calibri" w:hAnsi="Calibri" w:cs="Calibri"/>
          <w:sz w:val="22"/>
          <w:szCs w:val="22"/>
        </w:rPr>
        <w:t xml:space="preserve"> </w:t>
      </w:r>
      <w:r w:rsidR="007F2CBD" w:rsidRPr="119BB805">
        <w:rPr>
          <w:rFonts w:ascii="Calibri" w:eastAsia="Times New Roman" w:hAnsi="Calibri" w:cs="Calibri"/>
          <w:sz w:val="22"/>
          <w:szCs w:val="22"/>
        </w:rPr>
        <w:t xml:space="preserve">containing evidence-based </w:t>
      </w:r>
      <w:proofErr w:type="spellStart"/>
      <w:r w:rsidR="007F2CBD" w:rsidRPr="119BB805">
        <w:rPr>
          <w:rFonts w:ascii="Calibri" w:eastAsia="Times New Roman" w:hAnsi="Calibri" w:cs="Calibri"/>
          <w:sz w:val="22"/>
          <w:szCs w:val="22"/>
        </w:rPr>
        <w:t>analgosedatives</w:t>
      </w:r>
      <w:proofErr w:type="spellEnd"/>
      <w:r w:rsidR="007F2CBD" w:rsidRPr="119BB805">
        <w:rPr>
          <w:rFonts w:ascii="Calibri" w:eastAsia="Times New Roman" w:hAnsi="Calibri" w:cs="Calibri"/>
          <w:sz w:val="22"/>
          <w:szCs w:val="22"/>
        </w:rPr>
        <w:t xml:space="preserve"> and MAP-modulating agents most suitable for the respective post-intubation blood pressures</w:t>
      </w:r>
      <w:r w:rsidR="001F20ED" w:rsidRPr="119BB805">
        <w:rPr>
          <w:rFonts w:ascii="Calibri" w:hAnsi="Calibri" w:cs="Calibri"/>
          <w:sz w:val="22"/>
          <w:szCs w:val="22"/>
        </w:rPr>
        <w:t>.</w:t>
      </w:r>
      <w:r w:rsidR="001F20ED" w:rsidRPr="119BB805">
        <w:rPr>
          <w:color w:val="000000" w:themeColor="text1"/>
          <w:sz w:val="22"/>
          <w:szCs w:val="22"/>
        </w:rPr>
        <w:t xml:space="preserve"> Descriptive statistics including frequencies and percentages for categorical variables w</w:t>
      </w:r>
      <w:r w:rsidR="00E8634E" w:rsidRPr="119BB805">
        <w:rPr>
          <w:color w:val="000000" w:themeColor="text1"/>
          <w:sz w:val="22"/>
          <w:szCs w:val="22"/>
        </w:rPr>
        <w:t>ere</w:t>
      </w:r>
      <w:r w:rsidR="001F20ED" w:rsidRPr="119BB805">
        <w:rPr>
          <w:color w:val="000000" w:themeColor="text1"/>
          <w:sz w:val="22"/>
          <w:szCs w:val="22"/>
        </w:rPr>
        <w:t xml:space="preserve"> utilize</w:t>
      </w:r>
      <w:r w:rsidR="007F2CBD" w:rsidRPr="119BB805">
        <w:rPr>
          <w:color w:val="000000" w:themeColor="text1"/>
          <w:sz w:val="22"/>
          <w:szCs w:val="22"/>
        </w:rPr>
        <w:t>d</w:t>
      </w:r>
      <w:r w:rsidR="00AF408C" w:rsidRPr="119BB805">
        <w:rPr>
          <w:color w:val="000000" w:themeColor="text1"/>
          <w:sz w:val="22"/>
          <w:szCs w:val="22"/>
        </w:rPr>
        <w:t xml:space="preserve"> to analyze baseline characteristics</w:t>
      </w:r>
      <w:r w:rsidR="001F20ED" w:rsidRPr="119BB805">
        <w:rPr>
          <w:color w:val="000000" w:themeColor="text1"/>
          <w:sz w:val="22"/>
          <w:szCs w:val="22"/>
        </w:rPr>
        <w:t>.</w:t>
      </w:r>
      <w:r w:rsidR="007F2CBD" w:rsidRPr="119BB805">
        <w:rPr>
          <w:color w:val="000000" w:themeColor="text1"/>
          <w:sz w:val="22"/>
          <w:szCs w:val="22"/>
        </w:rPr>
        <w:t xml:space="preserve"> G</w:t>
      </w:r>
      <w:r w:rsidR="001F20ED" w:rsidRPr="119BB805">
        <w:rPr>
          <w:color w:val="000000" w:themeColor="text1"/>
          <w:sz w:val="22"/>
          <w:szCs w:val="22"/>
        </w:rPr>
        <w:t xml:space="preserve">roups </w:t>
      </w:r>
      <w:r w:rsidR="00E8634E" w:rsidRPr="119BB805">
        <w:rPr>
          <w:color w:val="000000" w:themeColor="text1"/>
          <w:sz w:val="22"/>
          <w:szCs w:val="22"/>
        </w:rPr>
        <w:t>were</w:t>
      </w:r>
      <w:r w:rsidR="001F20ED" w:rsidRPr="119BB805">
        <w:rPr>
          <w:color w:val="000000" w:themeColor="text1"/>
          <w:sz w:val="22"/>
          <w:szCs w:val="22"/>
        </w:rPr>
        <w:t xml:space="preserve"> compared using the Pearson’s Chi-square for categorical data. </w:t>
      </w:r>
      <w:r w:rsidR="001F20ED" w:rsidRPr="119BB805">
        <w:rPr>
          <w:sz w:val="22"/>
          <w:szCs w:val="22"/>
        </w:rPr>
        <w:t xml:space="preserve">A kappa </w:t>
      </w:r>
      <w:r w:rsidR="007F2CBD" w:rsidRPr="119BB805">
        <w:rPr>
          <w:sz w:val="22"/>
          <w:szCs w:val="22"/>
        </w:rPr>
        <w:t xml:space="preserve">coefficient </w:t>
      </w:r>
      <w:r w:rsidR="00E8634E" w:rsidRPr="119BB805">
        <w:rPr>
          <w:sz w:val="22"/>
          <w:szCs w:val="22"/>
        </w:rPr>
        <w:t>was also</w:t>
      </w:r>
      <w:r w:rsidR="001F20ED" w:rsidRPr="119BB805">
        <w:rPr>
          <w:sz w:val="22"/>
          <w:szCs w:val="22"/>
        </w:rPr>
        <w:t xml:space="preserve"> </w:t>
      </w:r>
      <w:r w:rsidR="007F2CBD" w:rsidRPr="119BB805">
        <w:rPr>
          <w:sz w:val="22"/>
          <w:szCs w:val="22"/>
        </w:rPr>
        <w:t>calculated</w:t>
      </w:r>
      <w:r w:rsidR="001F20ED" w:rsidRPr="119BB805">
        <w:rPr>
          <w:sz w:val="22"/>
          <w:szCs w:val="22"/>
        </w:rPr>
        <w:t xml:space="preserve"> to evaluate interrater reliability.</w:t>
      </w:r>
      <w:r w:rsidR="001F20ED" w:rsidRPr="119BB805">
        <w:rPr>
          <w:color w:val="000000" w:themeColor="text1"/>
          <w:sz w:val="22"/>
          <w:szCs w:val="22"/>
        </w:rPr>
        <w:t xml:space="preserve"> </w:t>
      </w:r>
    </w:p>
    <w:p w14:paraId="1A0AC8E7" w14:textId="77777777" w:rsidR="00496663" w:rsidRDefault="00F11E75" w:rsidP="00496663">
      <w:pPr>
        <w:spacing w:before="120" w:afterAutospacing="1"/>
        <w:rPr>
          <w:rFonts w:ascii="Calibri" w:eastAsia="Times New Roman" w:hAnsi="Calibri" w:cs="Calibri"/>
          <w:sz w:val="22"/>
          <w:szCs w:val="22"/>
        </w:rPr>
      </w:pPr>
      <w:r w:rsidRPr="245481B8">
        <w:rPr>
          <w:rFonts w:ascii="Calibri" w:eastAsia="Times New Roman" w:hAnsi="Calibri" w:cs="Calibri"/>
          <w:b/>
          <w:bCs/>
          <w:sz w:val="22"/>
          <w:szCs w:val="22"/>
        </w:rPr>
        <w:t xml:space="preserve">Results: </w:t>
      </w:r>
      <w:r w:rsidR="00886D7F" w:rsidRPr="245481B8">
        <w:rPr>
          <w:rFonts w:ascii="Calibri" w:eastAsia="Times New Roman" w:hAnsi="Calibri" w:cs="Calibri"/>
          <w:sz w:val="22"/>
          <w:szCs w:val="22"/>
        </w:rPr>
        <w:t xml:space="preserve">Sixty-two patients were included in the pre-protocol arm and </w:t>
      </w:r>
      <w:r w:rsidR="00496663">
        <w:rPr>
          <w:rFonts w:ascii="Calibri" w:eastAsia="Times New Roman" w:hAnsi="Calibri" w:cs="Calibri"/>
          <w:sz w:val="22"/>
          <w:szCs w:val="22"/>
        </w:rPr>
        <w:t>13</w:t>
      </w:r>
      <w:r w:rsidR="00886D7F" w:rsidRPr="245481B8">
        <w:rPr>
          <w:rFonts w:ascii="Calibri" w:eastAsia="Times New Roman" w:hAnsi="Calibri" w:cs="Calibri"/>
          <w:sz w:val="22"/>
          <w:szCs w:val="22"/>
        </w:rPr>
        <w:t xml:space="preserve"> </w:t>
      </w:r>
      <w:r w:rsidR="005365D2" w:rsidRPr="245481B8">
        <w:rPr>
          <w:rFonts w:ascii="Calibri" w:eastAsia="Times New Roman" w:hAnsi="Calibri" w:cs="Calibri"/>
          <w:sz w:val="22"/>
          <w:szCs w:val="22"/>
        </w:rPr>
        <w:t xml:space="preserve">patients </w:t>
      </w:r>
      <w:r w:rsidR="00886D7F" w:rsidRPr="245481B8">
        <w:rPr>
          <w:rFonts w:ascii="Calibri" w:eastAsia="Times New Roman" w:hAnsi="Calibri" w:cs="Calibri"/>
          <w:sz w:val="22"/>
          <w:szCs w:val="22"/>
        </w:rPr>
        <w:t xml:space="preserve">were included in the post-protocol arm. For the primary endpoint of </w:t>
      </w:r>
      <w:r w:rsidR="00150657" w:rsidRPr="245481B8">
        <w:rPr>
          <w:rFonts w:ascii="Calibri" w:eastAsia="Times New Roman" w:hAnsi="Calibri" w:cs="Calibri"/>
          <w:sz w:val="22"/>
          <w:szCs w:val="22"/>
        </w:rPr>
        <w:t xml:space="preserve">administration of both a </w:t>
      </w:r>
      <w:r w:rsidR="00886D7F" w:rsidRPr="245481B8">
        <w:rPr>
          <w:rFonts w:ascii="Calibri" w:eastAsia="Times New Roman" w:hAnsi="Calibri" w:cs="Calibri"/>
          <w:sz w:val="22"/>
          <w:szCs w:val="22"/>
        </w:rPr>
        <w:t>sedati</w:t>
      </w:r>
      <w:r w:rsidR="00150657" w:rsidRPr="245481B8">
        <w:rPr>
          <w:rFonts w:ascii="Calibri" w:eastAsia="Times New Roman" w:hAnsi="Calibri" w:cs="Calibri"/>
          <w:sz w:val="22"/>
          <w:szCs w:val="22"/>
        </w:rPr>
        <w:t>ve</w:t>
      </w:r>
      <w:r w:rsidR="00886D7F" w:rsidRPr="245481B8">
        <w:rPr>
          <w:rFonts w:ascii="Calibri" w:eastAsia="Times New Roman" w:hAnsi="Calibri" w:cs="Calibri"/>
          <w:sz w:val="22"/>
          <w:szCs w:val="22"/>
        </w:rPr>
        <w:t xml:space="preserve"> and analgesi</w:t>
      </w:r>
      <w:r w:rsidR="00150657" w:rsidRPr="245481B8">
        <w:rPr>
          <w:rFonts w:ascii="Calibri" w:eastAsia="Times New Roman" w:hAnsi="Calibri" w:cs="Calibri"/>
          <w:sz w:val="22"/>
          <w:szCs w:val="22"/>
        </w:rPr>
        <w:t>c agent</w:t>
      </w:r>
      <w:r w:rsidR="00886D7F" w:rsidRPr="245481B8">
        <w:rPr>
          <w:rFonts w:ascii="Calibri" w:eastAsia="Times New Roman" w:hAnsi="Calibri" w:cs="Calibri"/>
          <w:sz w:val="22"/>
          <w:szCs w:val="22"/>
        </w:rPr>
        <w:t xml:space="preserve"> within </w:t>
      </w:r>
      <w:r w:rsidR="00150657" w:rsidRPr="245481B8">
        <w:rPr>
          <w:rFonts w:ascii="Calibri" w:eastAsia="Times New Roman" w:hAnsi="Calibri" w:cs="Calibri"/>
          <w:sz w:val="22"/>
          <w:szCs w:val="22"/>
        </w:rPr>
        <w:t>15</w:t>
      </w:r>
      <w:r w:rsidR="00886D7F" w:rsidRPr="245481B8">
        <w:rPr>
          <w:rFonts w:ascii="Calibri" w:eastAsia="Times New Roman" w:hAnsi="Calibri" w:cs="Calibri"/>
          <w:sz w:val="22"/>
          <w:szCs w:val="22"/>
        </w:rPr>
        <w:t xml:space="preserve"> minutes of intubation, </w:t>
      </w:r>
      <w:r w:rsidR="00150657" w:rsidRPr="245481B8">
        <w:rPr>
          <w:rFonts w:ascii="Calibri" w:eastAsia="Times New Roman" w:hAnsi="Calibri" w:cs="Calibri"/>
          <w:sz w:val="22"/>
          <w:szCs w:val="22"/>
        </w:rPr>
        <w:t xml:space="preserve">24% vs 38.5% (P=0.29) </w:t>
      </w:r>
      <w:r w:rsidR="00C16169" w:rsidRPr="245481B8">
        <w:rPr>
          <w:rFonts w:ascii="Calibri" w:eastAsia="Times New Roman" w:hAnsi="Calibri" w:cs="Calibri"/>
          <w:sz w:val="22"/>
          <w:szCs w:val="22"/>
        </w:rPr>
        <w:t xml:space="preserve">received both agents </w:t>
      </w:r>
      <w:r w:rsidR="00150657" w:rsidRPr="245481B8">
        <w:rPr>
          <w:rFonts w:ascii="Calibri" w:eastAsia="Times New Roman" w:hAnsi="Calibri" w:cs="Calibri"/>
          <w:sz w:val="22"/>
          <w:szCs w:val="22"/>
        </w:rPr>
        <w:t xml:space="preserve">in the </w:t>
      </w:r>
      <w:r w:rsidR="005365D2" w:rsidRPr="245481B8">
        <w:rPr>
          <w:rFonts w:ascii="Calibri" w:eastAsia="Times New Roman" w:hAnsi="Calibri" w:cs="Calibri"/>
          <w:sz w:val="22"/>
          <w:szCs w:val="22"/>
        </w:rPr>
        <w:t>pre-</w:t>
      </w:r>
      <w:r w:rsidR="00150657" w:rsidRPr="245481B8">
        <w:rPr>
          <w:rFonts w:ascii="Calibri" w:eastAsia="Times New Roman" w:hAnsi="Calibri" w:cs="Calibri"/>
          <w:sz w:val="22"/>
          <w:szCs w:val="22"/>
        </w:rPr>
        <w:t xml:space="preserve"> and post-protocol arms</w:t>
      </w:r>
      <w:r w:rsidR="005365D2" w:rsidRPr="245481B8">
        <w:rPr>
          <w:rFonts w:ascii="Calibri" w:eastAsia="Times New Roman" w:hAnsi="Calibri" w:cs="Calibri"/>
          <w:sz w:val="22"/>
          <w:szCs w:val="22"/>
        </w:rPr>
        <w:t xml:space="preserve">, </w:t>
      </w:r>
      <w:r w:rsidR="00150657" w:rsidRPr="245481B8">
        <w:rPr>
          <w:rFonts w:ascii="Calibri" w:eastAsia="Times New Roman" w:hAnsi="Calibri" w:cs="Calibri"/>
          <w:sz w:val="22"/>
          <w:szCs w:val="22"/>
        </w:rPr>
        <w:t xml:space="preserve">respectively and 41.9% vs 84.6% (P=0.001) of patients received both agents within 30 minutes. </w:t>
      </w:r>
      <w:r w:rsidR="005365D2" w:rsidRPr="245481B8">
        <w:rPr>
          <w:rFonts w:ascii="Calibri" w:eastAsia="Times New Roman" w:hAnsi="Calibri" w:cs="Calibri"/>
          <w:sz w:val="22"/>
          <w:szCs w:val="22"/>
        </w:rPr>
        <w:t>A statistically significant difference was found for achievement of goal RASS scoring within 45 (9.7% vs 46.2%, P=0.001) and 90 (11.3% vs 69.2%</w:t>
      </w:r>
      <w:r w:rsidR="00C16169" w:rsidRPr="245481B8">
        <w:rPr>
          <w:rFonts w:ascii="Calibri" w:eastAsia="Times New Roman" w:hAnsi="Calibri" w:cs="Calibri"/>
          <w:sz w:val="22"/>
          <w:szCs w:val="22"/>
        </w:rPr>
        <w:t>, P&lt;0.0001</w:t>
      </w:r>
      <w:r w:rsidR="005365D2" w:rsidRPr="245481B8">
        <w:rPr>
          <w:rFonts w:ascii="Calibri" w:eastAsia="Times New Roman" w:hAnsi="Calibri" w:cs="Calibri"/>
          <w:sz w:val="22"/>
          <w:szCs w:val="22"/>
        </w:rPr>
        <w:t>)</w:t>
      </w:r>
      <w:r w:rsidR="00C16169" w:rsidRPr="245481B8">
        <w:rPr>
          <w:rFonts w:ascii="Calibri" w:eastAsia="Times New Roman" w:hAnsi="Calibri" w:cs="Calibri"/>
          <w:sz w:val="22"/>
          <w:szCs w:val="22"/>
        </w:rPr>
        <w:t xml:space="preserve"> minutes. A statistically significant difference in adherence to titration parameters (8.10% vs 38.5%, P=0.003) was also </w:t>
      </w:r>
      <w:r w:rsidR="00692A53" w:rsidRPr="245481B8">
        <w:rPr>
          <w:rFonts w:ascii="Calibri" w:eastAsia="Times New Roman" w:hAnsi="Calibri" w:cs="Calibri"/>
          <w:sz w:val="22"/>
          <w:szCs w:val="22"/>
        </w:rPr>
        <w:t>found</w:t>
      </w:r>
      <w:r w:rsidR="00C16169" w:rsidRPr="245481B8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5E6E4CBA" w14:textId="3D770515" w:rsidR="00FD2FAA" w:rsidRPr="00692A53" w:rsidRDefault="00F11E75" w:rsidP="00496663">
      <w:pPr>
        <w:spacing w:before="120" w:afterAutospacing="1"/>
        <w:rPr>
          <w:rFonts w:ascii="Calibri" w:eastAsia="Times New Roman" w:hAnsi="Calibri" w:cs="Calibri"/>
          <w:sz w:val="22"/>
          <w:szCs w:val="22"/>
        </w:rPr>
      </w:pPr>
      <w:r w:rsidRPr="119BB805"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 xml:space="preserve">Conclusion: </w:t>
      </w:r>
      <w:r w:rsidR="00886D7F" w:rsidRPr="119BB805">
        <w:rPr>
          <w:rFonts w:ascii="Calibri" w:eastAsia="Times New Roman" w:hAnsi="Calibri" w:cs="Calibri"/>
          <w:sz w:val="22"/>
          <w:szCs w:val="22"/>
        </w:rPr>
        <w:t xml:space="preserve">Emergency medicine pharmacists </w:t>
      </w:r>
      <w:r w:rsidR="00692A53" w:rsidRPr="119BB805">
        <w:rPr>
          <w:rFonts w:ascii="Calibri" w:eastAsia="Times New Roman" w:hAnsi="Calibri" w:cs="Calibri"/>
          <w:sz w:val="22"/>
          <w:szCs w:val="22"/>
        </w:rPr>
        <w:t>can play a vital role in post-intubation and hypotension management for mechanically ventilated patients in the emergency department.</w:t>
      </w:r>
    </w:p>
    <w:sectPr w:rsidR="00FD2FAA" w:rsidRPr="00692A53" w:rsidSect="00692A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972"/>
    <w:multiLevelType w:val="hybridMultilevel"/>
    <w:tmpl w:val="ED3A681E"/>
    <w:lvl w:ilvl="0" w:tplc="E4D0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24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0D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AB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64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29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66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CF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E6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BE9"/>
    <w:multiLevelType w:val="hybridMultilevel"/>
    <w:tmpl w:val="FD0EAA18"/>
    <w:lvl w:ilvl="0" w:tplc="DCE27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00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B0E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6D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E4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D86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C1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A5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8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25EB"/>
    <w:multiLevelType w:val="hybridMultilevel"/>
    <w:tmpl w:val="B86EDE8A"/>
    <w:lvl w:ilvl="0" w:tplc="02B2A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E7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46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AB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AE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25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03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AA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919D2"/>
    <w:multiLevelType w:val="hybridMultilevel"/>
    <w:tmpl w:val="99D05024"/>
    <w:lvl w:ilvl="0" w:tplc="0F826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2D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C5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E2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04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E9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8D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CC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CC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0725">
    <w:abstractNumId w:val="0"/>
  </w:num>
  <w:num w:numId="2" w16cid:durableId="1250195063">
    <w:abstractNumId w:val="1"/>
  </w:num>
  <w:num w:numId="3" w16cid:durableId="75713197">
    <w:abstractNumId w:val="2"/>
  </w:num>
  <w:num w:numId="4" w16cid:durableId="381445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75"/>
    <w:rsid w:val="00150657"/>
    <w:rsid w:val="001F20ED"/>
    <w:rsid w:val="003244ED"/>
    <w:rsid w:val="00400B40"/>
    <w:rsid w:val="00485AA4"/>
    <w:rsid w:val="00496663"/>
    <w:rsid w:val="005365D2"/>
    <w:rsid w:val="00692A53"/>
    <w:rsid w:val="007F2CBD"/>
    <w:rsid w:val="0084302D"/>
    <w:rsid w:val="00886D7F"/>
    <w:rsid w:val="00AF408C"/>
    <w:rsid w:val="00B10DF0"/>
    <w:rsid w:val="00BC00E1"/>
    <w:rsid w:val="00C16169"/>
    <w:rsid w:val="00E8634E"/>
    <w:rsid w:val="00EC2060"/>
    <w:rsid w:val="00F11E75"/>
    <w:rsid w:val="00F623F6"/>
    <w:rsid w:val="0A8D0DD9"/>
    <w:rsid w:val="0C28DE3A"/>
    <w:rsid w:val="119BB805"/>
    <w:rsid w:val="12D522C5"/>
    <w:rsid w:val="1433F01F"/>
    <w:rsid w:val="16311097"/>
    <w:rsid w:val="243FC97E"/>
    <w:rsid w:val="245481B8"/>
    <w:rsid w:val="3059E4F5"/>
    <w:rsid w:val="35EACD3D"/>
    <w:rsid w:val="4DE89024"/>
    <w:rsid w:val="56D8870A"/>
    <w:rsid w:val="62B3FE24"/>
    <w:rsid w:val="74658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24466"/>
  <w15:chartTrackingRefBased/>
  <w15:docId w15:val="{23E17779-249E-2B46-9956-833CDE20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E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uiPriority w:val="1"/>
    <w:rsid w:val="00F11E75"/>
  </w:style>
  <w:style w:type="paragraph" w:styleId="ListParagraph">
    <w:name w:val="List Paragraph"/>
    <w:basedOn w:val="Normal"/>
    <w:uiPriority w:val="34"/>
    <w:qFormat/>
    <w:rsid w:val="003244E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CB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CB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2C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Catalano,Melissa A</dc:creator>
  <cp:keywords/>
  <dc:description/>
  <cp:lastModifiedBy>Catalano,Melissa A</cp:lastModifiedBy>
  <cp:revision>2</cp:revision>
  <dcterms:created xsi:type="dcterms:W3CDTF">2022-05-06T05:00:00Z</dcterms:created>
  <dcterms:modified xsi:type="dcterms:W3CDTF">2022-05-06T05:00:00Z</dcterms:modified>
</cp:coreProperties>
</file>