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F074" w14:textId="459AEE44" w:rsidR="004846D5" w:rsidRPr="00AF44BE" w:rsidRDefault="004846D5" w:rsidP="004846D5">
      <w:pPr>
        <w:pStyle w:val="Title"/>
        <w:spacing w:line="360" w:lineRule="auto"/>
        <w:rPr>
          <w:sz w:val="22"/>
          <w:szCs w:val="22"/>
          <w:u w:val="none"/>
        </w:rPr>
      </w:pPr>
      <w:r w:rsidRPr="00AF44BE">
        <w:rPr>
          <w:u w:val="none"/>
        </w:rPr>
        <w:t xml:space="preserve">Desmopressin for </w:t>
      </w:r>
      <w:r>
        <w:rPr>
          <w:u w:val="none"/>
        </w:rPr>
        <w:t>a</w:t>
      </w:r>
      <w:r w:rsidRPr="00AF44BE">
        <w:rPr>
          <w:u w:val="none"/>
        </w:rPr>
        <w:t xml:space="preserve">ntiplatelet </w:t>
      </w:r>
      <w:r>
        <w:rPr>
          <w:u w:val="none"/>
        </w:rPr>
        <w:t>r</w:t>
      </w:r>
      <w:r w:rsidRPr="00AF44BE">
        <w:rPr>
          <w:u w:val="none"/>
        </w:rPr>
        <w:t xml:space="preserve">eversal in </w:t>
      </w:r>
      <w:r>
        <w:rPr>
          <w:u w:val="none"/>
        </w:rPr>
        <w:t>s</w:t>
      </w:r>
      <w:r w:rsidRPr="00AF44BE">
        <w:rPr>
          <w:u w:val="none"/>
        </w:rPr>
        <w:t xml:space="preserve">ubdural </w:t>
      </w:r>
      <w:r>
        <w:rPr>
          <w:u w:val="none"/>
        </w:rPr>
        <w:t>h</w:t>
      </w:r>
      <w:r w:rsidRPr="00AF44BE">
        <w:rPr>
          <w:u w:val="none"/>
        </w:rPr>
        <w:t>ematoma</w:t>
      </w:r>
    </w:p>
    <w:p w14:paraId="23988CFF" w14:textId="77777777" w:rsidR="004846D5" w:rsidRDefault="004846D5" w:rsidP="004846D5">
      <w:pPr>
        <w:pStyle w:val="Title"/>
        <w:spacing w:line="360" w:lineRule="auto"/>
        <w:jc w:val="left"/>
        <w:rPr>
          <w:sz w:val="22"/>
          <w:szCs w:val="22"/>
          <w:u w:val="none"/>
        </w:rPr>
      </w:pPr>
    </w:p>
    <w:p w14:paraId="5C398228" w14:textId="6B07C189" w:rsidR="004846D5" w:rsidRDefault="004846D5" w:rsidP="004846D5">
      <w:pPr>
        <w:pStyle w:val="Title"/>
        <w:spacing w:line="360" w:lineRule="auto"/>
        <w:jc w:val="left"/>
        <w:rPr>
          <w:b w:val="0"/>
          <w:sz w:val="22"/>
          <w:szCs w:val="22"/>
          <w:u w:val="none"/>
        </w:rPr>
      </w:pPr>
      <w:r w:rsidRPr="004846D5">
        <w:rPr>
          <w:sz w:val="22"/>
          <w:szCs w:val="22"/>
          <w:u w:val="none"/>
        </w:rPr>
        <w:t>Authors</w:t>
      </w:r>
      <w:r>
        <w:rPr>
          <w:b w:val="0"/>
          <w:sz w:val="22"/>
          <w:szCs w:val="22"/>
          <w:u w:val="none"/>
        </w:rPr>
        <w:t xml:space="preserve">: </w:t>
      </w:r>
      <w:r w:rsidRPr="00AF44BE">
        <w:rPr>
          <w:b w:val="0"/>
          <w:sz w:val="22"/>
          <w:szCs w:val="22"/>
          <w:u w:val="none"/>
        </w:rPr>
        <w:t>Apato A, Roels C, Dunderdale C, Bryan M.</w:t>
      </w:r>
    </w:p>
    <w:p w14:paraId="23CE91A5" w14:textId="78BFA41C" w:rsidR="004846D5" w:rsidRPr="00D345E0" w:rsidRDefault="004846D5" w:rsidP="004846D5">
      <w:pPr>
        <w:pStyle w:val="Title"/>
        <w:spacing w:line="360" w:lineRule="auto"/>
        <w:jc w:val="left"/>
        <w:rPr>
          <w:b w:val="0"/>
          <w:sz w:val="22"/>
          <w:szCs w:val="22"/>
          <w:u w:val="none"/>
        </w:rPr>
      </w:pPr>
      <w:r w:rsidRPr="004846D5">
        <w:rPr>
          <w:sz w:val="22"/>
          <w:szCs w:val="22"/>
          <w:u w:val="none"/>
        </w:rPr>
        <w:t>Practice Site:</w:t>
      </w:r>
      <w:r>
        <w:rPr>
          <w:b w:val="0"/>
          <w:sz w:val="22"/>
          <w:szCs w:val="22"/>
          <w:u w:val="none"/>
        </w:rPr>
        <w:t xml:space="preserve"> Novant Health Presbyterian Medical Center – Charlotte, NC </w:t>
      </w:r>
    </w:p>
    <w:p w14:paraId="11F2B9E8" w14:textId="5B3AFFD2" w:rsidR="00AF44BE" w:rsidRPr="001D002B" w:rsidRDefault="00AF44BE" w:rsidP="003B30C7">
      <w:pPr>
        <w:spacing w:line="276" w:lineRule="auto"/>
        <w:rPr>
          <w:rFonts w:cs="Arial"/>
          <w:b/>
        </w:rPr>
      </w:pPr>
    </w:p>
    <w:p w14:paraId="514D1454" w14:textId="2E65DF97" w:rsidR="00F02844" w:rsidRPr="001D002B" w:rsidRDefault="00F02844" w:rsidP="003B30C7">
      <w:pPr>
        <w:spacing w:line="276" w:lineRule="auto"/>
        <w:rPr>
          <w:rFonts w:cs="Arial"/>
          <w:b/>
        </w:rPr>
      </w:pPr>
      <w:r w:rsidRPr="001D002B">
        <w:rPr>
          <w:rFonts w:cs="Arial"/>
          <w:b/>
        </w:rPr>
        <w:t>Background</w:t>
      </w:r>
      <w:r w:rsidR="004846D5">
        <w:rPr>
          <w:rFonts w:cs="Arial"/>
          <w:b/>
        </w:rPr>
        <w:t>:</w:t>
      </w:r>
    </w:p>
    <w:p w14:paraId="61CE0969" w14:textId="21043784" w:rsidR="00F02844" w:rsidRDefault="00B05879" w:rsidP="00B058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76" w:lineRule="auto"/>
        <w:rPr>
          <w:rFonts w:eastAsia="SimSun" w:cs="Arial"/>
          <w:bCs/>
          <w:color w:val="000000"/>
          <w:szCs w:val="24"/>
        </w:rPr>
      </w:pPr>
      <w:r w:rsidRPr="001D002B">
        <w:rPr>
          <w:rFonts w:eastAsia="SimSun" w:cs="Arial"/>
          <w:bCs/>
          <w:color w:val="000000"/>
          <w:szCs w:val="24"/>
        </w:rPr>
        <w:t>T</w:t>
      </w:r>
      <w:r w:rsidR="000D5319" w:rsidRPr="000D5319">
        <w:rPr>
          <w:rFonts w:eastAsia="SimSun" w:cs="Arial"/>
          <w:bCs/>
          <w:color w:val="000000"/>
          <w:szCs w:val="24"/>
        </w:rPr>
        <w:t>here is a lack of reliabl</w:t>
      </w:r>
      <w:r w:rsidR="000D5319" w:rsidRPr="001D002B">
        <w:rPr>
          <w:rFonts w:eastAsia="SimSun" w:cs="Arial"/>
          <w:bCs/>
          <w:color w:val="000000"/>
          <w:szCs w:val="24"/>
        </w:rPr>
        <w:t xml:space="preserve">e reversal agents available for </w:t>
      </w:r>
      <w:r w:rsidR="000D5319" w:rsidRPr="000D5319">
        <w:rPr>
          <w:rFonts w:eastAsia="SimSun" w:cs="Arial"/>
          <w:bCs/>
          <w:color w:val="000000"/>
          <w:szCs w:val="24"/>
        </w:rPr>
        <w:t>antiplatelet medications.</w:t>
      </w:r>
      <w:r w:rsidR="000D5319" w:rsidRPr="000D5319">
        <w:rPr>
          <w:rFonts w:eastAsia="SimSun" w:cs="Arial"/>
          <w:bCs/>
          <w:color w:val="FF0000"/>
          <w:szCs w:val="24"/>
        </w:rPr>
        <w:t xml:space="preserve"> </w:t>
      </w:r>
      <w:r w:rsidR="000D5319" w:rsidRPr="000D5319">
        <w:rPr>
          <w:rFonts w:eastAsia="SimSun" w:cs="Arial"/>
          <w:bCs/>
          <w:color w:val="000000"/>
          <w:szCs w:val="24"/>
        </w:rPr>
        <w:t>D</w:t>
      </w:r>
      <w:r w:rsidR="004846D5" w:rsidRPr="001D002B">
        <w:rPr>
          <w:rFonts w:cs="Arial"/>
          <w:color w:val="000000"/>
        </w:rPr>
        <w:t>esmopressin (DDAVP</w:t>
      </w:r>
      <w:r w:rsidR="004846D5">
        <w:rPr>
          <w:rFonts w:cs="Arial"/>
          <w:color w:val="000000"/>
        </w:rPr>
        <w:t>)</w:t>
      </w:r>
      <w:r w:rsidR="000D5319" w:rsidRPr="000D5319">
        <w:rPr>
          <w:rFonts w:eastAsia="SimSun" w:cs="Arial"/>
          <w:bCs/>
          <w:color w:val="000000"/>
          <w:szCs w:val="24"/>
        </w:rPr>
        <w:t xml:space="preserve"> is a synthetic vasopressin analog that increases von Willebrand factor, factor VIII, and t-PA to cause a decrease in bleeding time</w:t>
      </w:r>
      <m:oMath>
        <m:r>
          <w:rPr>
            <w:rFonts w:ascii="Cambria Math" w:eastAsia="SimSun" w:hAnsi="Cambria Math" w:cs="Arial"/>
            <w:color w:val="000000"/>
            <w:szCs w:val="24"/>
          </w:rPr>
          <m:t>.</m:t>
        </m:r>
      </m:oMath>
      <w:r w:rsidR="000D5319" w:rsidRPr="000D5319">
        <w:rPr>
          <w:rFonts w:eastAsia="SimSun" w:cs="Arial"/>
          <w:color w:val="000000"/>
          <w:kern w:val="24"/>
          <w:szCs w:val="24"/>
        </w:rPr>
        <w:t xml:space="preserve"> </w:t>
      </w:r>
      <w:r w:rsidR="000D5319" w:rsidRPr="000D5319">
        <w:rPr>
          <w:rFonts w:eastAsia="SimSun" w:cs="Arial"/>
          <w:bCs/>
          <w:color w:val="000000"/>
          <w:szCs w:val="24"/>
        </w:rPr>
        <w:t xml:space="preserve">The </w:t>
      </w:r>
      <w:r w:rsidR="000D5319" w:rsidRPr="001D002B">
        <w:rPr>
          <w:rFonts w:eastAsia="SimSun" w:cs="Arial"/>
          <w:bCs/>
          <w:color w:val="000000"/>
          <w:szCs w:val="24"/>
        </w:rPr>
        <w:t xml:space="preserve">2015 </w:t>
      </w:r>
      <w:r w:rsidRPr="000D5319">
        <w:rPr>
          <w:rFonts w:eastAsia="SimSun" w:cs="Arial"/>
          <w:bCs/>
          <w:color w:val="000000"/>
          <w:szCs w:val="24"/>
        </w:rPr>
        <w:t>Neurocritical Care Society</w:t>
      </w:r>
      <w:r w:rsidRPr="001D002B">
        <w:rPr>
          <w:rFonts w:eastAsia="SimSun" w:cs="Arial"/>
          <w:bCs/>
          <w:color w:val="000000"/>
          <w:szCs w:val="24"/>
        </w:rPr>
        <w:t xml:space="preserve"> </w:t>
      </w:r>
      <w:r w:rsidR="000D5319" w:rsidRPr="000D5319">
        <w:rPr>
          <w:rFonts w:eastAsia="SimSun" w:cs="Arial"/>
          <w:bCs/>
          <w:color w:val="000000"/>
          <w:szCs w:val="24"/>
        </w:rPr>
        <w:t xml:space="preserve">Guidelines </w:t>
      </w:r>
      <w:r w:rsidRPr="001D002B">
        <w:rPr>
          <w:rFonts w:eastAsia="SimSun" w:cs="Arial"/>
          <w:bCs/>
          <w:color w:val="000000"/>
          <w:szCs w:val="24"/>
        </w:rPr>
        <w:t>consider a</w:t>
      </w:r>
      <w:r w:rsidR="000D5319" w:rsidRPr="000D5319">
        <w:rPr>
          <w:rFonts w:eastAsia="SimSun" w:cs="Arial"/>
          <w:bCs/>
          <w:color w:val="000000"/>
          <w:szCs w:val="24"/>
        </w:rPr>
        <w:t xml:space="preserve"> single dose of 0.4 mcg/kg IV DDAVP when an intracranial hemorrhage is associated </w:t>
      </w:r>
      <w:r w:rsidRPr="001D002B">
        <w:rPr>
          <w:rFonts w:eastAsia="SimSun" w:cs="Arial"/>
          <w:bCs/>
          <w:color w:val="000000"/>
          <w:szCs w:val="24"/>
        </w:rPr>
        <w:t>with antiplatelet agents</w:t>
      </w:r>
      <w:r w:rsidR="000D5319" w:rsidRPr="000D5319">
        <w:rPr>
          <w:rFonts w:eastAsia="SimSun" w:cs="Arial"/>
          <w:bCs/>
          <w:color w:val="000000"/>
          <w:szCs w:val="24"/>
        </w:rPr>
        <w:t xml:space="preserve">, but quality evidence to support this recommendation is </w:t>
      </w:r>
      <w:r w:rsidRPr="001D002B">
        <w:rPr>
          <w:rFonts w:eastAsia="SimSun" w:cs="Arial"/>
          <w:bCs/>
          <w:color w:val="000000"/>
          <w:szCs w:val="24"/>
        </w:rPr>
        <w:t>lacking.</w:t>
      </w:r>
    </w:p>
    <w:p w14:paraId="02E936C1" w14:textId="47E637F8" w:rsidR="00C00829" w:rsidRDefault="00C00829" w:rsidP="00B058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76" w:lineRule="auto"/>
        <w:rPr>
          <w:rFonts w:eastAsia="SimSun" w:cs="Arial"/>
          <w:bCs/>
          <w:color w:val="000000"/>
          <w:szCs w:val="24"/>
        </w:rPr>
      </w:pPr>
    </w:p>
    <w:p w14:paraId="5ED482D0" w14:textId="153F6C3D" w:rsidR="00C00829" w:rsidRPr="001D002B" w:rsidRDefault="004846D5" w:rsidP="00C00829">
      <w:pPr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Objective:</w:t>
      </w:r>
    </w:p>
    <w:p w14:paraId="65FE10B9" w14:textId="67D44B45" w:rsidR="00C00829" w:rsidRPr="00C00829" w:rsidRDefault="00C00829" w:rsidP="00C00829">
      <w:pPr>
        <w:spacing w:line="276" w:lineRule="auto"/>
        <w:rPr>
          <w:rFonts w:cs="Arial"/>
          <w:color w:val="000000"/>
        </w:rPr>
      </w:pPr>
      <w:r w:rsidRPr="001D002B">
        <w:rPr>
          <w:rFonts w:cs="Arial"/>
          <w:color w:val="000000"/>
        </w:rPr>
        <w:t>To evalu</w:t>
      </w:r>
      <w:r w:rsidR="004846D5">
        <w:rPr>
          <w:rFonts w:cs="Arial"/>
          <w:color w:val="000000"/>
        </w:rPr>
        <w:t xml:space="preserve">ate the impact of DDAVP </w:t>
      </w:r>
      <w:r w:rsidRPr="001D002B">
        <w:rPr>
          <w:rFonts w:cs="Arial"/>
          <w:color w:val="000000"/>
        </w:rPr>
        <w:t>on hematoma expansion and antiplatelet reversal in patients with acute subdural hematomas.</w:t>
      </w:r>
    </w:p>
    <w:p w14:paraId="5BE2EC27" w14:textId="77777777" w:rsidR="00B05879" w:rsidRPr="001D002B" w:rsidRDefault="00B05879" w:rsidP="00B058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76" w:lineRule="auto"/>
        <w:rPr>
          <w:rFonts w:cs="Arial"/>
          <w:b/>
        </w:rPr>
      </w:pPr>
    </w:p>
    <w:p w14:paraId="27D2A4F7" w14:textId="3D282578" w:rsidR="00D345E0" w:rsidRPr="001D002B" w:rsidRDefault="00D345E0" w:rsidP="003B30C7">
      <w:pPr>
        <w:spacing w:line="276" w:lineRule="auto"/>
        <w:rPr>
          <w:rFonts w:cs="Arial"/>
        </w:rPr>
      </w:pPr>
      <w:r w:rsidRPr="001D002B">
        <w:rPr>
          <w:rFonts w:cs="Arial"/>
          <w:b/>
        </w:rPr>
        <w:t>Methods</w:t>
      </w:r>
      <w:r w:rsidR="004846D5">
        <w:rPr>
          <w:rFonts w:cs="Arial"/>
          <w:b/>
        </w:rPr>
        <w:t>:</w:t>
      </w:r>
    </w:p>
    <w:p w14:paraId="570F6D99" w14:textId="21FF94DE" w:rsidR="00AF44BE" w:rsidRPr="001D002B" w:rsidRDefault="00AF44BE" w:rsidP="003B30C7">
      <w:pPr>
        <w:spacing w:line="276" w:lineRule="auto"/>
        <w:rPr>
          <w:rFonts w:cs="Arial"/>
          <w:lang w:val="en"/>
        </w:rPr>
      </w:pPr>
      <w:r w:rsidRPr="001D002B">
        <w:rPr>
          <w:rFonts w:cs="Arial"/>
          <w:lang w:val="en"/>
        </w:rPr>
        <w:t>This was an IRB approved, multicenter, retrospective cohort study that evaluated patients on antiplatelet therapy admitted with subdural hematomas between January 201</w:t>
      </w:r>
      <w:r w:rsidR="00746A70" w:rsidRPr="001D002B">
        <w:rPr>
          <w:rFonts w:cs="Arial"/>
          <w:lang w:val="en"/>
        </w:rPr>
        <w:t>8</w:t>
      </w:r>
      <w:r w:rsidRPr="001D002B">
        <w:rPr>
          <w:rFonts w:cs="Arial"/>
          <w:lang w:val="en"/>
        </w:rPr>
        <w:t xml:space="preserve"> and June 2021. Patients were identified through an electronic medical record report and screened for inclusion. The primary endpoint </w:t>
      </w:r>
      <w:r w:rsidR="00BC4E13" w:rsidRPr="001D002B">
        <w:rPr>
          <w:rFonts w:cs="Arial"/>
          <w:lang w:val="en"/>
        </w:rPr>
        <w:t>investigated</w:t>
      </w:r>
      <w:r w:rsidRPr="001D002B">
        <w:rPr>
          <w:rFonts w:cs="Arial"/>
          <w:lang w:val="en"/>
        </w:rPr>
        <w:t xml:space="preserve"> the difference in hematoma expansion on stability </w:t>
      </w:r>
      <w:r w:rsidR="00F02844" w:rsidRPr="001D002B">
        <w:rPr>
          <w:rFonts w:cs="Arial"/>
          <w:lang w:val="en"/>
        </w:rPr>
        <w:t>computed tomography</w:t>
      </w:r>
      <w:r w:rsidRPr="001D002B">
        <w:rPr>
          <w:rFonts w:cs="Arial"/>
          <w:lang w:val="en"/>
        </w:rPr>
        <w:t xml:space="preserve"> scans per radiologist’s read</w:t>
      </w:r>
      <w:r w:rsidR="00BC4E13" w:rsidRPr="001D002B">
        <w:rPr>
          <w:rFonts w:cs="Arial"/>
          <w:lang w:val="en"/>
        </w:rPr>
        <w:t xml:space="preserve"> when reversed with </w:t>
      </w:r>
      <w:r w:rsidR="004846D5">
        <w:rPr>
          <w:rFonts w:cs="Arial"/>
          <w:lang w:val="en"/>
        </w:rPr>
        <w:t>DDAVP</w:t>
      </w:r>
      <w:r w:rsidR="00BC4E13" w:rsidRPr="001D002B">
        <w:rPr>
          <w:rFonts w:cs="Arial"/>
          <w:lang w:val="en"/>
        </w:rPr>
        <w:t xml:space="preserve"> vs no reversal</w:t>
      </w:r>
      <w:r w:rsidRPr="001D002B">
        <w:rPr>
          <w:rFonts w:cs="Arial"/>
          <w:lang w:val="en"/>
        </w:rPr>
        <w:t xml:space="preserve">. Secondary endpoints included hematoma expansion with DDAVP 0.3 mcg/kg vs 0.4 mcg/kg, discharge disposition, length of ICU stay, length of hospital stay, thromboembolic adverse events, hyponatremia at 24 hours, and all-cause mortality at 30 days. </w:t>
      </w:r>
    </w:p>
    <w:p w14:paraId="141F7721" w14:textId="23730B11" w:rsidR="00AF44BE" w:rsidRPr="001D002B" w:rsidRDefault="00AF44BE">
      <w:pPr>
        <w:rPr>
          <w:rFonts w:cs="Arial"/>
        </w:rPr>
      </w:pPr>
    </w:p>
    <w:p w14:paraId="2FFD35FE" w14:textId="4832471B" w:rsidR="00746A70" w:rsidRPr="001D002B" w:rsidRDefault="00746A70" w:rsidP="003B30C7">
      <w:pPr>
        <w:spacing w:line="276" w:lineRule="auto"/>
        <w:rPr>
          <w:rFonts w:cs="Arial"/>
          <w:color w:val="000000" w:themeColor="text1"/>
        </w:rPr>
      </w:pPr>
      <w:r w:rsidRPr="001D002B">
        <w:rPr>
          <w:rFonts w:cs="Arial"/>
          <w:b/>
          <w:color w:val="000000" w:themeColor="text1"/>
        </w:rPr>
        <w:t>Results</w:t>
      </w:r>
      <w:r w:rsidR="004846D5">
        <w:rPr>
          <w:rFonts w:cs="Arial"/>
          <w:b/>
          <w:color w:val="000000" w:themeColor="text1"/>
        </w:rPr>
        <w:t>:</w:t>
      </w:r>
    </w:p>
    <w:p w14:paraId="7628E2CC" w14:textId="01D9EDF8" w:rsidR="00AB3DFE" w:rsidRPr="001D002B" w:rsidRDefault="00746A70" w:rsidP="00AB3DFE">
      <w:pPr>
        <w:spacing w:line="276" w:lineRule="auto"/>
        <w:rPr>
          <w:rFonts w:cs="Arial"/>
          <w:lang w:val="en"/>
        </w:rPr>
      </w:pPr>
      <w:r w:rsidRPr="001D002B">
        <w:rPr>
          <w:rFonts w:cs="Arial"/>
          <w:color w:val="000000" w:themeColor="text1"/>
        </w:rPr>
        <w:t xml:space="preserve">A review of </w:t>
      </w:r>
      <w:r w:rsidR="00D61028" w:rsidRPr="001D002B">
        <w:rPr>
          <w:rFonts w:cs="Arial"/>
          <w:color w:val="000000" w:themeColor="text1"/>
        </w:rPr>
        <w:t xml:space="preserve">patients on antiplatelet therapy with </w:t>
      </w:r>
      <w:r w:rsidR="00CE1C12" w:rsidRPr="001D002B">
        <w:rPr>
          <w:rFonts w:cs="Arial"/>
          <w:color w:val="000000" w:themeColor="text1"/>
        </w:rPr>
        <w:t>subdural hematoma</w:t>
      </w:r>
      <w:r w:rsidRPr="001D002B">
        <w:rPr>
          <w:rFonts w:cs="Arial"/>
          <w:color w:val="000000" w:themeColor="text1"/>
        </w:rPr>
        <w:t xml:space="preserve">s </w:t>
      </w:r>
      <w:r w:rsidR="00D61028" w:rsidRPr="001D002B">
        <w:rPr>
          <w:rFonts w:cs="Arial"/>
          <w:color w:val="000000" w:themeColor="text1"/>
        </w:rPr>
        <w:t xml:space="preserve">treated with </w:t>
      </w:r>
      <w:r w:rsidR="00345137" w:rsidRPr="001D002B">
        <w:rPr>
          <w:rFonts w:cs="Arial"/>
          <w:color w:val="000000" w:themeColor="text1"/>
        </w:rPr>
        <w:t>DDAVP</w:t>
      </w:r>
      <w:r w:rsidR="00D61028" w:rsidRPr="001D002B">
        <w:rPr>
          <w:rFonts w:cs="Arial"/>
          <w:color w:val="000000" w:themeColor="text1"/>
        </w:rPr>
        <w:t xml:space="preserve"> (n = 51) versus not (n = 51) </w:t>
      </w:r>
      <w:r w:rsidRPr="001D002B">
        <w:rPr>
          <w:rFonts w:cs="Arial"/>
          <w:color w:val="000000" w:themeColor="text1"/>
        </w:rPr>
        <w:t xml:space="preserve">revealed no significant difference in </w:t>
      </w:r>
      <w:r w:rsidR="00CE1C12" w:rsidRPr="001D002B">
        <w:rPr>
          <w:rFonts w:cs="Arial"/>
          <w:color w:val="000000" w:themeColor="text1"/>
        </w:rPr>
        <w:t>hematoma expansion</w:t>
      </w:r>
      <w:r w:rsidR="00D61028" w:rsidRPr="001D002B">
        <w:rPr>
          <w:rFonts w:cs="Arial"/>
          <w:color w:val="000000" w:themeColor="text1"/>
        </w:rPr>
        <w:t xml:space="preserve"> </w:t>
      </w:r>
      <w:r w:rsidR="00345137" w:rsidRPr="001D002B">
        <w:rPr>
          <w:rFonts w:cs="Arial"/>
          <w:color w:val="000000" w:themeColor="text1"/>
        </w:rPr>
        <w:t xml:space="preserve">on stability CT scans </w:t>
      </w:r>
      <w:r w:rsidR="00D61028" w:rsidRPr="001D002B">
        <w:rPr>
          <w:rFonts w:cs="Arial"/>
          <w:color w:val="000000" w:themeColor="text1"/>
        </w:rPr>
        <w:t xml:space="preserve">(5.9% vs </w:t>
      </w:r>
      <w:r w:rsidR="00DE1D5F" w:rsidRPr="001D002B">
        <w:rPr>
          <w:rFonts w:cs="Arial"/>
          <w:color w:val="000000" w:themeColor="text1"/>
        </w:rPr>
        <w:t>17.6</w:t>
      </w:r>
      <w:r w:rsidR="00D61028" w:rsidRPr="001D002B">
        <w:rPr>
          <w:rFonts w:cs="Arial"/>
          <w:color w:val="000000" w:themeColor="text1"/>
        </w:rPr>
        <w:t xml:space="preserve">%, </w:t>
      </w:r>
      <w:r w:rsidR="00AB3DFE" w:rsidRPr="001D002B">
        <w:rPr>
          <w:rFonts w:cs="Arial"/>
          <w:color w:val="000000" w:themeColor="text1"/>
        </w:rPr>
        <w:t xml:space="preserve">OR 0.29 [0.07-1.15], </w:t>
      </w:r>
      <w:r w:rsidR="00D61028" w:rsidRPr="001D002B">
        <w:rPr>
          <w:rFonts w:cs="Arial"/>
          <w:color w:val="000000" w:themeColor="text1"/>
        </w:rPr>
        <w:t>p = 0.</w:t>
      </w:r>
      <w:r w:rsidR="00DE1D5F" w:rsidRPr="001D002B">
        <w:rPr>
          <w:rFonts w:cs="Arial"/>
          <w:color w:val="000000" w:themeColor="text1"/>
        </w:rPr>
        <w:t>078</w:t>
      </w:r>
      <w:r w:rsidR="00D61028" w:rsidRPr="001D002B">
        <w:rPr>
          <w:rFonts w:cs="Arial"/>
          <w:color w:val="000000" w:themeColor="text1"/>
        </w:rPr>
        <w:t>)</w:t>
      </w:r>
      <w:r w:rsidR="00345137" w:rsidRPr="001D002B">
        <w:rPr>
          <w:rFonts w:cs="Arial"/>
          <w:color w:val="000000" w:themeColor="text1"/>
        </w:rPr>
        <w:t xml:space="preserve">. </w:t>
      </w:r>
      <w:r w:rsidR="00AB3DFE" w:rsidRPr="001D002B">
        <w:rPr>
          <w:rFonts w:cs="Arial"/>
          <w:color w:val="000000" w:themeColor="text1"/>
        </w:rPr>
        <w:t xml:space="preserve">Hematoma expansion did not significantly vary if the patient received 0.3 mcg/kg or 0.4 mcg/kg DDAVP (6.8% vs 0%, OR 1.27 [0.06-1.27.08], p = 0.88). No differences were detected in discharge disposition, length of hospital stay, length of ICU stay, </w:t>
      </w:r>
      <w:r w:rsidR="00AB3DFE" w:rsidRPr="001D002B">
        <w:rPr>
          <w:rFonts w:cs="Arial"/>
          <w:lang w:val="en"/>
        </w:rPr>
        <w:t xml:space="preserve">thromboembolic adverse events, hyponatremia at 24 hours, or all-cause mortality at 30 days. </w:t>
      </w:r>
    </w:p>
    <w:p w14:paraId="60B878E1" w14:textId="77777777" w:rsidR="003B30C7" w:rsidRPr="001D002B" w:rsidRDefault="003B30C7" w:rsidP="003B30C7">
      <w:pPr>
        <w:spacing w:line="276" w:lineRule="auto"/>
        <w:rPr>
          <w:rFonts w:cs="Arial"/>
          <w:b/>
        </w:rPr>
      </w:pPr>
    </w:p>
    <w:p w14:paraId="3133AC20" w14:textId="3B98860B" w:rsidR="00746A70" w:rsidRPr="001D002B" w:rsidRDefault="00746A70" w:rsidP="003B30C7">
      <w:pPr>
        <w:spacing w:line="276" w:lineRule="auto"/>
        <w:rPr>
          <w:rFonts w:cs="Arial"/>
        </w:rPr>
      </w:pPr>
      <w:r w:rsidRPr="001D002B">
        <w:rPr>
          <w:rFonts w:cs="Arial"/>
          <w:b/>
        </w:rPr>
        <w:t>Conclusion</w:t>
      </w:r>
      <w:r w:rsidR="004846D5">
        <w:rPr>
          <w:rFonts w:cs="Arial"/>
          <w:b/>
        </w:rPr>
        <w:t xml:space="preserve">: </w:t>
      </w:r>
    </w:p>
    <w:p w14:paraId="5DCE920F" w14:textId="30DAFEEF" w:rsidR="0034756F" w:rsidRPr="001D002B" w:rsidRDefault="00A67274" w:rsidP="003B30C7">
      <w:pPr>
        <w:spacing w:line="276" w:lineRule="auto"/>
        <w:rPr>
          <w:rFonts w:cs="Arial"/>
          <w:color w:val="000000" w:themeColor="text1"/>
        </w:rPr>
      </w:pPr>
      <w:r w:rsidRPr="001D002B">
        <w:rPr>
          <w:rFonts w:cs="Arial"/>
          <w:color w:val="000000" w:themeColor="text1"/>
        </w:rPr>
        <w:t>For patients on antiplatelet therapies rever</w:t>
      </w:r>
      <w:r w:rsidR="008963A3" w:rsidRPr="001D002B">
        <w:rPr>
          <w:rFonts w:cs="Arial"/>
          <w:color w:val="000000" w:themeColor="text1"/>
        </w:rPr>
        <w:t>s</w:t>
      </w:r>
      <w:r w:rsidRPr="001D002B">
        <w:rPr>
          <w:rFonts w:cs="Arial"/>
          <w:color w:val="000000" w:themeColor="text1"/>
        </w:rPr>
        <w:t>ed with DDAVP, t</w:t>
      </w:r>
      <w:r w:rsidR="0034756F" w:rsidRPr="001D002B">
        <w:rPr>
          <w:rFonts w:cs="Arial"/>
          <w:color w:val="000000" w:themeColor="text1"/>
        </w:rPr>
        <w:t>here was no significant difference in subdural hematoma expansion</w:t>
      </w:r>
      <w:r w:rsidR="008963A3" w:rsidRPr="001D002B">
        <w:rPr>
          <w:rFonts w:cs="Arial"/>
          <w:color w:val="000000" w:themeColor="text1"/>
        </w:rPr>
        <w:t xml:space="preserve">. </w:t>
      </w:r>
      <w:r w:rsidR="0034756F" w:rsidRPr="001D002B">
        <w:rPr>
          <w:rFonts w:cs="Arial"/>
          <w:color w:val="000000" w:themeColor="text1"/>
        </w:rPr>
        <w:t xml:space="preserve">Further studies are </w:t>
      </w:r>
      <w:r w:rsidRPr="001D002B">
        <w:rPr>
          <w:rFonts w:cs="Arial"/>
          <w:color w:val="000000" w:themeColor="text1"/>
        </w:rPr>
        <w:t>warranted</w:t>
      </w:r>
      <w:r w:rsidR="0034756F" w:rsidRPr="001D002B">
        <w:rPr>
          <w:rFonts w:cs="Arial"/>
          <w:color w:val="000000" w:themeColor="text1"/>
        </w:rPr>
        <w:t xml:space="preserve"> </w:t>
      </w:r>
      <w:r w:rsidRPr="001D002B">
        <w:rPr>
          <w:rFonts w:cs="Arial"/>
          <w:color w:val="000000" w:themeColor="text1"/>
        </w:rPr>
        <w:t xml:space="preserve">to determine the effects of DDAVP on antiplatelet reversal and hematoma expansion in intracranial hemorrhages. </w:t>
      </w:r>
    </w:p>
    <w:p w14:paraId="0F7C5608" w14:textId="77777777" w:rsidR="00746A70" w:rsidRDefault="00746A70" w:rsidP="003B30C7">
      <w:pPr>
        <w:spacing w:line="276" w:lineRule="auto"/>
      </w:pPr>
    </w:p>
    <w:sectPr w:rsidR="00746A70" w:rsidSect="00D345E0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C54F" w14:textId="77777777" w:rsidR="00C93DA9" w:rsidRDefault="00C93DA9" w:rsidP="00D345E0">
      <w:pPr>
        <w:spacing w:line="240" w:lineRule="auto"/>
      </w:pPr>
      <w:r>
        <w:separator/>
      </w:r>
    </w:p>
  </w:endnote>
  <w:endnote w:type="continuationSeparator" w:id="0">
    <w:p w14:paraId="1FCB240D" w14:textId="77777777" w:rsidR="00C93DA9" w:rsidRDefault="00C93DA9" w:rsidP="00D34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65D0" w14:textId="77777777" w:rsidR="00C93DA9" w:rsidRDefault="00C93DA9" w:rsidP="00D345E0">
      <w:pPr>
        <w:spacing w:line="240" w:lineRule="auto"/>
      </w:pPr>
      <w:r>
        <w:separator/>
      </w:r>
    </w:p>
  </w:footnote>
  <w:footnote w:type="continuationSeparator" w:id="0">
    <w:p w14:paraId="1A29B531" w14:textId="77777777" w:rsidR="00C93DA9" w:rsidRDefault="00C93DA9" w:rsidP="00D34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3A96" w14:textId="337A5754" w:rsidR="00AF44BE" w:rsidRPr="00D345E0" w:rsidRDefault="00AF44BE" w:rsidP="004846D5">
    <w:pPr>
      <w:pStyle w:val="Title"/>
      <w:spacing w:line="360" w:lineRule="auto"/>
      <w:jc w:val="left"/>
      <w:rPr>
        <w:b w:val="0"/>
        <w:sz w:val="22"/>
        <w:szCs w:val="2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631"/>
    <w:multiLevelType w:val="hybridMultilevel"/>
    <w:tmpl w:val="5FC0B3F2"/>
    <w:lvl w:ilvl="0" w:tplc="E5C8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EB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E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E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6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4A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4C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0047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E0"/>
    <w:rsid w:val="00056135"/>
    <w:rsid w:val="000A0B59"/>
    <w:rsid w:val="000C52E2"/>
    <w:rsid w:val="000D5319"/>
    <w:rsid w:val="00107295"/>
    <w:rsid w:val="001D002B"/>
    <w:rsid w:val="00201D65"/>
    <w:rsid w:val="00246233"/>
    <w:rsid w:val="00252AFD"/>
    <w:rsid w:val="00261F14"/>
    <w:rsid w:val="002F1CDB"/>
    <w:rsid w:val="00345137"/>
    <w:rsid w:val="0034756F"/>
    <w:rsid w:val="003A0EF4"/>
    <w:rsid w:val="003B30C7"/>
    <w:rsid w:val="003D4349"/>
    <w:rsid w:val="003F3420"/>
    <w:rsid w:val="004846D5"/>
    <w:rsid w:val="00536557"/>
    <w:rsid w:val="00540B16"/>
    <w:rsid w:val="005B5367"/>
    <w:rsid w:val="00661AA0"/>
    <w:rsid w:val="00746A70"/>
    <w:rsid w:val="00783613"/>
    <w:rsid w:val="00823484"/>
    <w:rsid w:val="008963A3"/>
    <w:rsid w:val="008F769F"/>
    <w:rsid w:val="00A077D0"/>
    <w:rsid w:val="00A31938"/>
    <w:rsid w:val="00A67274"/>
    <w:rsid w:val="00AB3DFE"/>
    <w:rsid w:val="00AE33A5"/>
    <w:rsid w:val="00AF44BE"/>
    <w:rsid w:val="00B05879"/>
    <w:rsid w:val="00BC4E13"/>
    <w:rsid w:val="00BF2DBF"/>
    <w:rsid w:val="00C00829"/>
    <w:rsid w:val="00C40115"/>
    <w:rsid w:val="00C604F4"/>
    <w:rsid w:val="00C84812"/>
    <w:rsid w:val="00C93DA9"/>
    <w:rsid w:val="00CE1C12"/>
    <w:rsid w:val="00D345E0"/>
    <w:rsid w:val="00D61028"/>
    <w:rsid w:val="00DB5EB1"/>
    <w:rsid w:val="00DE1D5F"/>
    <w:rsid w:val="00F02844"/>
    <w:rsid w:val="00F1453E"/>
    <w:rsid w:val="00F21071"/>
    <w:rsid w:val="00F319A4"/>
    <w:rsid w:val="00F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99CB3"/>
  <w15:chartTrackingRefBased/>
  <w15:docId w15:val="{F7AC8231-0154-4996-B2D4-E0280D1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E0"/>
  </w:style>
  <w:style w:type="paragraph" w:styleId="Footer">
    <w:name w:val="footer"/>
    <w:basedOn w:val="Normal"/>
    <w:link w:val="FooterChar"/>
    <w:uiPriority w:val="99"/>
    <w:unhideWhenUsed/>
    <w:rsid w:val="00D34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E0"/>
  </w:style>
  <w:style w:type="paragraph" w:styleId="Title">
    <w:name w:val="Title"/>
    <w:basedOn w:val="Normal"/>
    <w:link w:val="TitleChar"/>
    <w:uiPriority w:val="99"/>
    <w:qFormat/>
    <w:rsid w:val="00D345E0"/>
    <w:pPr>
      <w:tabs>
        <w:tab w:val="left" w:pos="360"/>
        <w:tab w:val="left" w:pos="720"/>
        <w:tab w:val="left" w:pos="1080"/>
        <w:tab w:val="left" w:pos="1440"/>
        <w:tab w:val="left" w:pos="1800"/>
      </w:tabs>
      <w:suppressAutoHyphens/>
      <w:spacing w:line="225" w:lineRule="auto"/>
      <w:jc w:val="center"/>
    </w:pPr>
    <w:rPr>
      <w:rFonts w:eastAsia="SimSun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345E0"/>
    <w:rPr>
      <w:rFonts w:eastAsia="SimSun" w:cs="Arial"/>
      <w:b/>
      <w:bCs/>
      <w:sz w:val="24"/>
      <w:szCs w:val="24"/>
      <w:u w:val="single"/>
    </w:rPr>
  </w:style>
  <w:style w:type="paragraph" w:customStyle="1" w:styleId="lefthead">
    <w:name w:val="left head"/>
    <w:basedOn w:val="Normal"/>
    <w:next w:val="Normal"/>
    <w:rsid w:val="00AF44BE"/>
    <w:pPr>
      <w:keepNext/>
      <w:spacing w:after="240" w:line="240" w:lineRule="auto"/>
    </w:pPr>
    <w:rPr>
      <w:rFonts w:eastAsia="Times New Roman" w:cs="Times New Roman"/>
      <w:b/>
      <w:sz w:val="28"/>
      <w:szCs w:val="20"/>
    </w:rPr>
  </w:style>
  <w:style w:type="paragraph" w:customStyle="1" w:styleId="Default">
    <w:name w:val="Default"/>
    <w:rsid w:val="00AF44B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F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987009A2F7343BD71ACD053EB3831" ma:contentTypeVersion="12" ma:contentTypeDescription="Create a new document." ma:contentTypeScope="" ma:versionID="59c331bb068713d160571537469e31b2">
  <xsd:schema xmlns:xsd="http://www.w3.org/2001/XMLSchema" xmlns:xs="http://www.w3.org/2001/XMLSchema" xmlns:p="http://schemas.microsoft.com/office/2006/metadata/properties" xmlns:ns1="http://schemas.microsoft.com/sharepoint/v3" xmlns:ns2="b11d1cd9-d09f-41e8-a8f8-5b0a3a10bfc2" targetNamespace="http://schemas.microsoft.com/office/2006/metadata/properties" ma:root="true" ma:fieldsID="062713c5ba783c0e65bd358aff2ac83a" ns1:_="" ns2:_="">
    <xsd:import namespace="http://schemas.microsoft.com/sharepoint/v3"/>
    <xsd:import namespace="b11d1cd9-d09f-41e8-a8f8-5b0a3a10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d1cd9-d09f-41e8-a8f8-5b0a3a10b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3CA86-CBD0-46A5-A026-7D6343B96D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262677-7575-4D62-AF2D-8A9191AD3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DB8F5-C09C-432F-AFAC-106CE67B0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1d1cd9-d09f-41e8-a8f8-5b0a3a10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Sydney T</dc:creator>
  <cp:keywords/>
  <dc:description/>
  <cp:lastModifiedBy>Amanda Apato</cp:lastModifiedBy>
  <cp:revision>28</cp:revision>
  <dcterms:created xsi:type="dcterms:W3CDTF">2021-04-15T17:35:00Z</dcterms:created>
  <dcterms:modified xsi:type="dcterms:W3CDTF">2022-04-29T21:37:00Z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0x010100BC8987009A2F7343BD71ACD053EB3831</vt:lpwstr>
  </property>
</Properties>
</file>