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79" w:rsidRDefault="00E67079" w:rsidP="00E67079">
      <w:pPr>
        <w:jc w:val="center"/>
        <w:rPr>
          <w:rFonts w:ascii="Arial Narrow" w:hAnsi="Arial Narrow"/>
          <w:b/>
          <w:color w:val="9CC2E5" w:themeColor="accent1" w:themeTint="99"/>
          <w:sz w:val="28"/>
        </w:rPr>
      </w:pPr>
      <w:r>
        <w:rPr>
          <w:rFonts w:ascii="Arial Narrow" w:hAnsi="Arial Narrow"/>
          <w:b/>
          <w:sz w:val="28"/>
        </w:rPr>
        <w:t>Pros and Cons of Admissions Tests</w:t>
      </w:r>
    </w:p>
    <w:p w:rsidR="00E67079" w:rsidRPr="00D96906" w:rsidRDefault="00E67079" w:rsidP="00E67079">
      <w:pPr>
        <w:rPr>
          <w:rFonts w:ascii="Arial Narrow" w:hAnsi="Arial Narrow" w:cstheme="minorHAnsi"/>
          <w:b/>
          <w:u w:val="single"/>
        </w:rPr>
      </w:pPr>
      <w:r w:rsidRPr="00D96906">
        <w:rPr>
          <w:rFonts w:ascii="Arial Narrow" w:hAnsi="Arial Narrow" w:cstheme="minorHAnsi"/>
          <w:b/>
          <w:u w:val="single"/>
        </w:rPr>
        <w:t>INTRODUCTION</w:t>
      </w:r>
    </w:p>
    <w:p w:rsidR="00A57E6B" w:rsidRDefault="00272E9D">
      <w:pPr>
        <w:rPr>
          <w:rFonts w:ascii="Arial Narrow" w:hAnsi="Arial Narrow"/>
          <w:b/>
          <w:u w:val="single"/>
        </w:rPr>
      </w:pPr>
      <w:r>
        <w:rPr>
          <w:rFonts w:ascii="Arial Narrow" w:eastAsia="Times New Roman" w:hAnsi="Arial Narrow" w:cstheme="minorHAnsi"/>
        </w:rPr>
        <w:t xml:space="preserve">Debate about the use of standardized testing for student selection has persisted for decades. In May 2020, the University of California Board of Regents </w:t>
      </w:r>
      <w:r w:rsidR="00E542B4">
        <w:rPr>
          <w:rFonts w:ascii="Arial Narrow" w:eastAsia="Times New Roman" w:hAnsi="Arial Narrow" w:cstheme="minorHAnsi"/>
        </w:rPr>
        <w:t>unanimously voted to suspend standardized testing requirements for all freshmen applications until fall 2024, with plans to design a new admissions test that better aligns with the content the University expects students to have mastered for college readiness</w:t>
      </w:r>
      <w:r>
        <w:rPr>
          <w:rFonts w:ascii="Arial Narrow" w:eastAsia="Times New Roman" w:hAnsi="Arial Narrow" w:cstheme="minorHAnsi"/>
        </w:rPr>
        <w:t xml:space="preserve">. </w:t>
      </w:r>
      <w:r w:rsidR="00E67079" w:rsidRPr="00D96906">
        <w:rPr>
          <w:rFonts w:ascii="Arial Narrow" w:eastAsia="Times New Roman" w:hAnsi="Arial Narrow" w:cstheme="minorHAnsi"/>
        </w:rPr>
        <w:t xml:space="preserve">The </w:t>
      </w:r>
      <w:r w:rsidR="00E67079">
        <w:rPr>
          <w:rFonts w:ascii="Arial Narrow" w:eastAsia="Times New Roman" w:hAnsi="Arial Narrow" w:cstheme="minorHAnsi"/>
        </w:rPr>
        <w:t xml:space="preserve">following list represents </w:t>
      </w:r>
      <w:r w:rsidR="00E542B4">
        <w:rPr>
          <w:rFonts w:ascii="Arial Narrow" w:eastAsia="Times New Roman" w:hAnsi="Arial Narrow" w:cstheme="minorHAnsi"/>
        </w:rPr>
        <w:t>common</w:t>
      </w:r>
      <w:r w:rsidR="00E67079">
        <w:rPr>
          <w:rFonts w:ascii="Arial Narrow" w:eastAsia="Times New Roman" w:hAnsi="Arial Narrow" w:cstheme="minorHAnsi"/>
        </w:rPr>
        <w:t xml:space="preserve"> arguments for and against the use of standardized admissions tests for </w:t>
      </w:r>
      <w:r w:rsidR="00E67079" w:rsidRPr="00231990">
        <w:rPr>
          <w:rFonts w:ascii="Arial Narrow" w:eastAsia="Times New Roman" w:hAnsi="Arial Narrow" w:cstheme="minorHAnsi"/>
        </w:rPr>
        <w:t>entrance into college and university degree p</w:t>
      </w:r>
      <w:r w:rsidR="00231990" w:rsidRPr="00231990">
        <w:rPr>
          <w:rFonts w:ascii="Arial Narrow" w:eastAsia="Times New Roman" w:hAnsi="Arial Narrow" w:cstheme="minorHAnsi"/>
        </w:rPr>
        <w:t>rograms (e.g. SAT, ACT, GRE, PCAT</w:t>
      </w:r>
      <w:r w:rsidR="00E67079" w:rsidRPr="00231990">
        <w:rPr>
          <w:rFonts w:ascii="Arial Narrow" w:eastAsia="Times New Roman" w:hAnsi="Arial Narrow" w:cstheme="minorHAnsi"/>
        </w:rPr>
        <w:t xml:space="preserve">). </w:t>
      </w:r>
      <w:r w:rsidR="00E67079" w:rsidRPr="00231990">
        <w:rPr>
          <w:rFonts w:ascii="Arial Narrow" w:eastAsia="Times New Roman" w:hAnsi="Arial Narrow" w:cstheme="minorHAnsi"/>
        </w:rPr>
        <w:t>This</w:t>
      </w:r>
      <w:r w:rsidR="00E67079" w:rsidRPr="00231990">
        <w:rPr>
          <w:rFonts w:ascii="Arial Narrow" w:eastAsia="Times New Roman" w:hAnsi="Arial Narrow" w:cstheme="minorHAnsi"/>
        </w:rPr>
        <w:t xml:space="preserve"> information was</w:t>
      </w:r>
      <w:r w:rsidR="00E67079" w:rsidRPr="00231990">
        <w:rPr>
          <w:rFonts w:ascii="Arial Narrow" w:eastAsia="Times New Roman" w:hAnsi="Arial Narrow" w:cstheme="minorHAnsi"/>
        </w:rPr>
        <w:t xml:space="preserve"> requested by </w:t>
      </w:r>
      <w:r w:rsidR="00E67079" w:rsidRPr="00231990">
        <w:rPr>
          <w:rFonts w:ascii="Arial Narrow" w:eastAsia="Times New Roman" w:hAnsi="Arial Narrow" w:cstheme="minorHAnsi"/>
        </w:rPr>
        <w:t>Olivia Hammill to help facilitate discussion among the School’s Admission and Recruitment Committee about the use of the PCAT.</w:t>
      </w:r>
      <w:r w:rsidR="00A57E6B">
        <w:rPr>
          <w:rFonts w:ascii="Arial Narrow" w:eastAsia="Times New Roman" w:hAnsi="Arial Narrow" w:cstheme="minorHAnsi"/>
        </w:rPr>
        <w:t xml:space="preserve"> </w:t>
      </w:r>
    </w:p>
    <w:p w:rsidR="00690774" w:rsidRDefault="00690774">
      <w:pPr>
        <w:rPr>
          <w:rFonts w:ascii="Arial Narrow" w:hAnsi="Arial Narrow"/>
          <w:b/>
          <w:u w:val="single"/>
        </w:rPr>
      </w:pPr>
    </w:p>
    <w:p w:rsidR="00E67079" w:rsidRPr="0061280E" w:rsidRDefault="00231990">
      <w:pPr>
        <w:rPr>
          <w:rFonts w:ascii="Arial Narrow" w:hAnsi="Arial Narrow"/>
          <w:b/>
          <w:u w:val="single"/>
        </w:rPr>
      </w:pPr>
      <w:r w:rsidRPr="0061280E">
        <w:rPr>
          <w:rFonts w:ascii="Arial Narrow" w:hAnsi="Arial Narrow"/>
          <w:b/>
          <w:u w:val="single"/>
        </w:rPr>
        <w:t>Common Arguments FOR Use</w:t>
      </w:r>
    </w:p>
    <w:p w:rsidR="00231990" w:rsidRPr="006B7E04" w:rsidRDefault="00231990" w:rsidP="00231990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</w:rPr>
      </w:pPr>
      <w:r>
        <w:rPr>
          <w:rFonts w:ascii="Arial Narrow" w:hAnsi="Arial Narrow"/>
        </w:rPr>
        <w:t>Enables sorting of candidates based on a standardized assessment</w:t>
      </w:r>
    </w:p>
    <w:p w:rsidR="00231990" w:rsidRPr="006B7E04" w:rsidRDefault="00231990" w:rsidP="00231990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</w:rPr>
      </w:pPr>
      <w:r>
        <w:rPr>
          <w:rFonts w:ascii="Arial Narrow" w:hAnsi="Arial Narrow"/>
        </w:rPr>
        <w:t>Provides some insight into likelihood of student performance in didactic coursework early in a curriculum</w:t>
      </w:r>
    </w:p>
    <w:p w:rsidR="006B7E04" w:rsidRPr="00231990" w:rsidRDefault="006B7E04" w:rsidP="006B7E04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</w:rPr>
      </w:pPr>
      <w:r>
        <w:rPr>
          <w:rFonts w:ascii="Arial Narrow" w:hAnsi="Arial Narrow"/>
        </w:rPr>
        <w:t>Low resource for institutions to use fo</w:t>
      </w:r>
      <w:r w:rsidR="00ED04EA">
        <w:rPr>
          <w:rFonts w:ascii="Arial Narrow" w:hAnsi="Arial Narrow"/>
        </w:rPr>
        <w:t xml:space="preserve">r admissions decisions (e.g. doesn’t </w:t>
      </w:r>
      <w:r>
        <w:rPr>
          <w:rFonts w:ascii="Arial Narrow" w:hAnsi="Arial Narrow"/>
        </w:rPr>
        <w:t>require institution to administer additional test/assessment)</w:t>
      </w:r>
    </w:p>
    <w:p w:rsidR="00A57E6B" w:rsidRDefault="007D4AC2">
      <w:pPr>
        <w:rPr>
          <w:rFonts w:ascii="Arial Narrow" w:hAnsi="Arial Narrow"/>
          <w:b/>
          <w:u w:val="single"/>
        </w:rPr>
      </w:pPr>
      <w:r w:rsidRPr="0061280E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246380</wp:posOffset>
            </wp:positionV>
            <wp:extent cx="3514725" cy="37395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73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990" w:rsidRPr="0061280E" w:rsidRDefault="00231990">
      <w:pPr>
        <w:rPr>
          <w:rFonts w:ascii="Arial Narrow" w:hAnsi="Arial Narrow"/>
          <w:b/>
          <w:u w:val="single"/>
        </w:rPr>
      </w:pPr>
      <w:r w:rsidRPr="0061280E">
        <w:rPr>
          <w:rFonts w:ascii="Arial Narrow" w:hAnsi="Arial Narrow"/>
          <w:b/>
          <w:u w:val="single"/>
        </w:rPr>
        <w:t>Common Arguments AGAINST Use</w:t>
      </w:r>
    </w:p>
    <w:p w:rsidR="00E67079" w:rsidRDefault="00231990" w:rsidP="0023199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Apparent</w:t>
      </w:r>
      <w:r w:rsidR="009212E4">
        <w:rPr>
          <w:rFonts w:ascii="Arial Narrow" w:hAnsi="Arial Narrow"/>
        </w:rPr>
        <w:t xml:space="preserve"> testing</w:t>
      </w:r>
      <w:r>
        <w:rPr>
          <w:rFonts w:ascii="Arial Narrow" w:hAnsi="Arial Narrow"/>
        </w:rPr>
        <w:t xml:space="preserve"> bias against some cultural, ethnic, and socio-economic groups</w:t>
      </w:r>
      <w:r w:rsidR="006B7E04">
        <w:rPr>
          <w:rFonts w:ascii="Arial Narrow" w:hAnsi="Arial Narrow"/>
        </w:rPr>
        <w:t xml:space="preserve"> (e.g. cultural assumptions)</w:t>
      </w:r>
    </w:p>
    <w:p w:rsidR="00231990" w:rsidRDefault="00231990" w:rsidP="0023199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Costs</w:t>
      </w:r>
      <w:r w:rsidR="009212E4">
        <w:rPr>
          <w:rFonts w:ascii="Arial Narrow" w:hAnsi="Arial Narrow"/>
        </w:rPr>
        <w:t xml:space="preserve"> associated with registering</w:t>
      </w:r>
      <w:r w:rsidR="00A57E6B">
        <w:rPr>
          <w:rFonts w:ascii="Arial Narrow" w:hAnsi="Arial Narrow"/>
        </w:rPr>
        <w:t xml:space="preserve"> and preparing</w:t>
      </w:r>
      <w:r w:rsidR="009212E4">
        <w:rPr>
          <w:rFonts w:ascii="Arial Narrow" w:hAnsi="Arial Narrow"/>
        </w:rPr>
        <w:t xml:space="preserve"> for the test</w:t>
      </w:r>
      <w:r>
        <w:rPr>
          <w:rFonts w:ascii="Arial Narrow" w:hAnsi="Arial Narrow"/>
        </w:rPr>
        <w:t xml:space="preserve"> may serve as </w:t>
      </w:r>
      <w:r w:rsidR="00A57E6B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>deterrent</w:t>
      </w:r>
    </w:p>
    <w:p w:rsidR="009212E4" w:rsidRDefault="006B7E04" w:rsidP="0023199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Predictive validity diminishes over time (e.g. less predictive of performance later in a curriculum)</w:t>
      </w:r>
      <w:r w:rsidR="00DB1DD2">
        <w:rPr>
          <w:rFonts w:ascii="Arial Narrow" w:hAnsi="Arial Narrow"/>
        </w:rPr>
        <w:t xml:space="preserve"> – currently no evidence that test-optional negatively affects graduation rates</w:t>
      </w:r>
    </w:p>
    <w:p w:rsidR="00231990" w:rsidRDefault="0061280E" w:rsidP="0023199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6B7E04">
        <w:rPr>
          <w:rFonts w:ascii="Arial Narrow" w:hAnsi="Arial Narrow"/>
        </w:rPr>
        <w:t>cores can lack reliability, particularly given environmental factors or emotional stress</w:t>
      </w:r>
    </w:p>
    <w:p w:rsidR="006B7E04" w:rsidRDefault="006B7E04" w:rsidP="0023199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Tests reward quick thinking, not deep or creative thinking</w:t>
      </w:r>
    </w:p>
    <w:p w:rsidR="0061280E" w:rsidRDefault="00237764" w:rsidP="0023199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Scores are p</w:t>
      </w:r>
      <w:r w:rsidR="0061280E">
        <w:rPr>
          <w:rFonts w:ascii="Arial Narrow" w:hAnsi="Arial Narrow"/>
        </w:rPr>
        <w:t>oor measures of student achievement, particularly the ability to understand and apply complex material</w:t>
      </w:r>
    </w:p>
    <w:p w:rsidR="0061280E" w:rsidRDefault="001959D8" w:rsidP="0023199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330835</wp:posOffset>
                </wp:positionV>
                <wp:extent cx="3486150" cy="1404620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80E" w:rsidRPr="0061280E" w:rsidRDefault="0061280E">
                            <w:pPr>
                              <w:rPr>
                                <w:sz w:val="18"/>
                              </w:rPr>
                            </w:pPr>
                            <w:r w:rsidRPr="0061280E">
                              <w:rPr>
                                <w:sz w:val="18"/>
                              </w:rPr>
                              <w:t>https://broadview.sacredsf.org/14643/news/institutions-open-doors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75pt;margin-top:26.05pt;width:27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" stroked="f">
                <v:textbox style="mso-fit-shape-to-text:t">
                  <w:txbxContent>
                    <w:p w:rsidR="0061280E" w:rsidRPr="0061280E" w:rsidRDefault="0061280E">
                      <w:pPr>
                        <w:rPr>
                          <w:sz w:val="18"/>
                        </w:rPr>
                      </w:pPr>
                      <w:r w:rsidRPr="0061280E">
                        <w:rPr>
                          <w:sz w:val="18"/>
                        </w:rPr>
                        <w:t>https://broadview.sacredsf.org/14643/news/institutions-open-doors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280E">
        <w:rPr>
          <w:rFonts w:ascii="Arial Narrow" w:hAnsi="Arial Narrow"/>
        </w:rPr>
        <w:t xml:space="preserve">Other types of assessments may provide information </w:t>
      </w:r>
      <w:r w:rsidR="00237764">
        <w:rPr>
          <w:rFonts w:ascii="Arial Narrow" w:hAnsi="Arial Narrow"/>
        </w:rPr>
        <w:t>that is better</w:t>
      </w:r>
      <w:r w:rsidR="0061280E">
        <w:rPr>
          <w:rFonts w:ascii="Arial Narrow" w:hAnsi="Arial Narrow"/>
        </w:rPr>
        <w:t xml:space="preserve"> aligned with curriculum </w:t>
      </w:r>
    </w:p>
    <w:p w:rsidR="001959D8" w:rsidRDefault="001959D8" w:rsidP="001959D8">
      <w:pPr>
        <w:rPr>
          <w:rFonts w:ascii="Arial Narrow" w:hAnsi="Arial Narrow"/>
        </w:rPr>
      </w:pPr>
    </w:p>
    <w:p w:rsidR="00EF511F" w:rsidRDefault="00EF511F" w:rsidP="001959D8">
      <w:pPr>
        <w:rPr>
          <w:rFonts w:ascii="Arial Narrow" w:hAnsi="Arial Narrow"/>
        </w:rPr>
      </w:pPr>
    </w:p>
    <w:p w:rsidR="00EF511F" w:rsidRDefault="00EF511F" w:rsidP="001959D8">
      <w:pPr>
        <w:rPr>
          <w:rFonts w:ascii="Arial Narrow" w:hAnsi="Arial Narrow"/>
        </w:rPr>
      </w:pPr>
    </w:p>
    <w:p w:rsidR="001959D8" w:rsidRPr="001959D8" w:rsidRDefault="00E55370" w:rsidP="001959D8">
      <w:pPr>
        <w:spacing w:after="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>Examples</w:t>
      </w:r>
      <w:r w:rsidR="00DB1DD2">
        <w:rPr>
          <w:rFonts w:ascii="Arial Narrow" w:hAnsi="Arial Narrow"/>
          <w:b/>
          <w:u w:val="single"/>
        </w:rPr>
        <w:t xml:space="preserve"> of </w:t>
      </w:r>
      <w:r w:rsidR="001959D8">
        <w:rPr>
          <w:rFonts w:ascii="Arial Narrow" w:hAnsi="Arial Narrow"/>
          <w:b/>
          <w:u w:val="single"/>
        </w:rPr>
        <w:t>PCAT Research</w:t>
      </w:r>
    </w:p>
    <w:p w:rsidR="00E67079" w:rsidRDefault="001959D8" w:rsidP="00DB1DD2">
      <w:pPr>
        <w:spacing w:after="0"/>
        <w:rPr>
          <w:rFonts w:ascii="Arial Narrow" w:hAnsi="Arial Narrow"/>
          <w:b/>
          <w:u w:val="single"/>
        </w:rPr>
      </w:pPr>
      <w:r w:rsidRPr="001959D8">
        <w:rPr>
          <w:rFonts w:ascii="Arial Narrow" w:hAnsi="Arial Narrow"/>
          <w:b/>
          <w:u w:val="single"/>
        </w:rPr>
        <w:t>(</w:t>
      </w:r>
      <w:r w:rsidRPr="001959D8">
        <w:rPr>
          <w:rFonts w:ascii="Arial Narrow" w:hAnsi="Arial Narrow"/>
          <w:b/>
        </w:rPr>
        <w:t xml:space="preserve">NOTE: most PCAT research lacks </w:t>
      </w:r>
      <w:r w:rsidR="00EF511F">
        <w:rPr>
          <w:rFonts w:ascii="Arial Narrow" w:hAnsi="Arial Narrow"/>
          <w:b/>
        </w:rPr>
        <w:t>generalizability</w:t>
      </w:r>
      <w:r w:rsidRPr="001959D8">
        <w:rPr>
          <w:rFonts w:ascii="Arial Narrow" w:hAnsi="Arial Narrow"/>
          <w:b/>
        </w:rPr>
        <w:t xml:space="preserve"> due to single institution design</w:t>
      </w:r>
      <w:r w:rsidR="00EF511F">
        <w:rPr>
          <w:rFonts w:ascii="Arial Narrow" w:hAnsi="Arial Narrow"/>
          <w:b/>
        </w:rPr>
        <w:t>, therefore results of studies should be interpreted with caution</w:t>
      </w:r>
      <w:r w:rsidRPr="001959D8">
        <w:rPr>
          <w:rFonts w:ascii="Arial Narrow" w:hAnsi="Arial Narrow"/>
          <w:b/>
        </w:rPr>
        <w:t>)</w:t>
      </w:r>
    </w:p>
    <w:p w:rsidR="00DB1DD2" w:rsidRDefault="00DB1DD2" w:rsidP="00690774">
      <w:pPr>
        <w:pStyle w:val="ListParagraph"/>
        <w:numPr>
          <w:ilvl w:val="0"/>
          <w:numId w:val="3"/>
        </w:numPr>
        <w:spacing w:after="0"/>
        <w:ind w:left="360"/>
        <w:rPr>
          <w:rFonts w:ascii="Arial Narrow" w:hAnsi="Arial Narrow"/>
        </w:rPr>
      </w:pPr>
      <w:r w:rsidRPr="00DB1DD2">
        <w:rPr>
          <w:rFonts w:ascii="Arial Narrow" w:hAnsi="Arial Narrow"/>
        </w:rPr>
        <w:t xml:space="preserve">PCAT generally has predictive </w:t>
      </w:r>
      <w:r>
        <w:rPr>
          <w:rFonts w:ascii="Arial Narrow" w:hAnsi="Arial Narrow"/>
        </w:rPr>
        <w:t xml:space="preserve">validity early in a curriculum; this </w:t>
      </w:r>
      <w:r w:rsidR="00093CE2">
        <w:rPr>
          <w:rFonts w:ascii="Arial Narrow" w:hAnsi="Arial Narrow"/>
        </w:rPr>
        <w:t>can</w:t>
      </w:r>
      <w:r w:rsidR="00E83707">
        <w:rPr>
          <w:rFonts w:ascii="Arial Narrow" w:hAnsi="Arial Narrow"/>
        </w:rPr>
        <w:t xml:space="preserve"> vary</w:t>
      </w:r>
      <w:r>
        <w:rPr>
          <w:rFonts w:ascii="Arial Narrow" w:hAnsi="Arial Narrow"/>
        </w:rPr>
        <w:t xml:space="preserve"> by PCAT section (e.g. PCAT-Chemistry is a stronger predictor than others)</w:t>
      </w:r>
    </w:p>
    <w:p w:rsidR="00272E9D" w:rsidRDefault="00DB1DD2" w:rsidP="00690774">
      <w:pPr>
        <w:pStyle w:val="ListParagraph"/>
        <w:numPr>
          <w:ilvl w:val="0"/>
          <w:numId w:val="3"/>
        </w:numPr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>Most PCAT correlations with student achievement in pharmacy school tend to be moderate or weak and explain a low percentage of varianc</w:t>
      </w:r>
      <w:bookmarkStart w:id="0" w:name="_GoBack"/>
      <w:bookmarkEnd w:id="0"/>
      <w:r>
        <w:rPr>
          <w:rFonts w:ascii="Arial Narrow" w:hAnsi="Arial Narrow"/>
        </w:rPr>
        <w:t xml:space="preserve">e in scores </w:t>
      </w:r>
    </w:p>
    <w:p w:rsidR="00DB1DD2" w:rsidRPr="00E83707" w:rsidRDefault="00DB1DD2" w:rsidP="00C4507E">
      <w:pPr>
        <w:pStyle w:val="ListParagraph"/>
        <w:numPr>
          <w:ilvl w:val="1"/>
          <w:numId w:val="3"/>
        </w:numPr>
        <w:spacing w:after="0"/>
        <w:ind w:left="1080"/>
        <w:rPr>
          <w:rFonts w:ascii="Arial Narrow" w:hAnsi="Arial Narrow"/>
        </w:rPr>
      </w:pPr>
      <w:r>
        <w:rPr>
          <w:rFonts w:ascii="Arial Narrow" w:hAnsi="Arial Narrow"/>
        </w:rPr>
        <w:t>e.g</w:t>
      </w:r>
      <w:r w:rsidRPr="00DB1DD2">
        <w:rPr>
          <w:rFonts w:ascii="Arial Narrow" w:hAnsi="Arial Narrow"/>
        </w:rPr>
        <w:t xml:space="preserve">. From Williams et al 2019: </w:t>
      </w:r>
      <w:r w:rsidRPr="00DB1DD2">
        <w:rPr>
          <w:rFonts w:ascii="Arial Narrow" w:hAnsi="Arial Narrow"/>
          <w:i/>
        </w:rPr>
        <w:t xml:space="preserve">Regression models were significant but explained a low percentage of </w:t>
      </w:r>
      <w:r w:rsidRPr="00E83707">
        <w:rPr>
          <w:rFonts w:ascii="Arial Narrow" w:hAnsi="Arial Narrow"/>
          <w:i/>
        </w:rPr>
        <w:t>the variance in OSCE scores</w:t>
      </w:r>
    </w:p>
    <w:p w:rsidR="00272E9D" w:rsidRPr="009A1A32" w:rsidRDefault="00DB1DD2" w:rsidP="00690774">
      <w:pPr>
        <w:pStyle w:val="ListParagraph"/>
        <w:numPr>
          <w:ilvl w:val="0"/>
          <w:numId w:val="3"/>
        </w:numPr>
        <w:spacing w:after="0"/>
        <w:ind w:left="360"/>
        <w:rPr>
          <w:rFonts w:ascii="Arial Narrow" w:hAnsi="Arial Narrow"/>
        </w:rPr>
      </w:pPr>
      <w:r w:rsidRPr="009A1A32">
        <w:rPr>
          <w:rFonts w:ascii="Arial Narrow" w:hAnsi="Arial Narrow"/>
        </w:rPr>
        <w:t>Predictive validity tends to diminish over time</w:t>
      </w:r>
      <w:r w:rsidR="009A1A32" w:rsidRPr="009A1A32">
        <w:rPr>
          <w:rFonts w:ascii="Arial Narrow" w:hAnsi="Arial Narrow"/>
        </w:rPr>
        <w:t xml:space="preserve"> and</w:t>
      </w:r>
      <w:r w:rsidR="009A1A32">
        <w:rPr>
          <w:rFonts w:ascii="Arial Narrow" w:hAnsi="Arial Narrow"/>
        </w:rPr>
        <w:t xml:space="preserve"> o</w:t>
      </w:r>
      <w:r w:rsidRPr="009A1A32">
        <w:rPr>
          <w:rFonts w:ascii="Arial Narrow" w:hAnsi="Arial Narrow"/>
        </w:rPr>
        <w:t xml:space="preserve">ther factors are more predictive of </w:t>
      </w:r>
      <w:r w:rsidR="00093CE2" w:rsidRPr="009A1A32">
        <w:rPr>
          <w:rFonts w:ascii="Arial Narrow" w:hAnsi="Arial Narrow"/>
        </w:rPr>
        <w:t>long-term outcomes</w:t>
      </w:r>
      <w:r w:rsidRPr="009A1A32">
        <w:rPr>
          <w:rFonts w:ascii="Arial Narrow" w:hAnsi="Arial Narrow"/>
        </w:rPr>
        <w:t xml:space="preserve"> </w:t>
      </w:r>
    </w:p>
    <w:p w:rsidR="009F7A8B" w:rsidRDefault="001318EA" w:rsidP="00C4507E">
      <w:pPr>
        <w:pStyle w:val="ListParagraph"/>
        <w:numPr>
          <w:ilvl w:val="1"/>
          <w:numId w:val="3"/>
        </w:numPr>
        <w:spacing w:after="0"/>
        <w:ind w:left="1080"/>
        <w:rPr>
          <w:rFonts w:ascii="Arial Narrow" w:hAnsi="Arial Narrow"/>
        </w:rPr>
      </w:pPr>
      <w:r w:rsidRPr="00C4507E">
        <w:rPr>
          <w:rFonts w:ascii="Arial Narrow" w:hAnsi="Arial Narrow"/>
          <w:b/>
        </w:rPr>
        <w:t>APPE SCORES</w:t>
      </w:r>
      <w:r>
        <w:rPr>
          <w:rFonts w:ascii="Arial Narrow" w:hAnsi="Arial Narrow"/>
        </w:rPr>
        <w:t xml:space="preserve">. From </w:t>
      </w:r>
      <w:r w:rsidR="009F7A8B">
        <w:rPr>
          <w:rFonts w:ascii="Arial Narrow" w:hAnsi="Arial Narrow"/>
        </w:rPr>
        <w:t>Heldenbrand et al 2017: MMI more strongly correlated with APPE scores (r</w:t>
      </w:r>
      <w:r w:rsidR="009F7A8B" w:rsidRPr="009F7A8B">
        <w:rPr>
          <w:rFonts w:ascii="Arial Narrow" w:hAnsi="Arial Narrow"/>
          <w:vertAlign w:val="subscript"/>
        </w:rPr>
        <w:t>p</w:t>
      </w:r>
      <w:r w:rsidR="009F7A8B">
        <w:rPr>
          <w:rFonts w:ascii="Arial Narrow" w:hAnsi="Arial Narrow"/>
        </w:rPr>
        <w:t xml:space="preserve"> = .24) than PCAT (r</w:t>
      </w:r>
      <w:r w:rsidR="009F7A8B" w:rsidRPr="009F7A8B">
        <w:rPr>
          <w:rFonts w:ascii="Arial Narrow" w:hAnsi="Arial Narrow"/>
          <w:vertAlign w:val="subscript"/>
        </w:rPr>
        <w:t>p</w:t>
      </w:r>
      <w:r w:rsidR="009F7A8B">
        <w:rPr>
          <w:rFonts w:ascii="Arial Narrow" w:hAnsi="Arial Narrow"/>
        </w:rPr>
        <w:t xml:space="preserve">=.08).  </w:t>
      </w:r>
    </w:p>
    <w:p w:rsidR="009F7A8B" w:rsidRPr="009F7A8B" w:rsidRDefault="009F7A8B" w:rsidP="00C4507E">
      <w:pPr>
        <w:pStyle w:val="ListParagraph"/>
        <w:numPr>
          <w:ilvl w:val="1"/>
          <w:numId w:val="3"/>
        </w:numPr>
        <w:spacing w:after="0"/>
        <w:ind w:left="1080"/>
        <w:rPr>
          <w:rFonts w:ascii="Arial Narrow" w:hAnsi="Arial Narrow"/>
        </w:rPr>
      </w:pPr>
      <w:r w:rsidRPr="00C4507E">
        <w:rPr>
          <w:rFonts w:ascii="Arial Narrow" w:hAnsi="Arial Narrow"/>
          <w:b/>
        </w:rPr>
        <w:t>ON-TIME GRADUATION/DISMISSAL</w:t>
      </w:r>
      <w:r w:rsidRPr="009F7A8B">
        <w:rPr>
          <w:rFonts w:ascii="Arial Narrow" w:hAnsi="Arial Narrow"/>
        </w:rPr>
        <w:t>. From Spivey et al 2019: PCAT composite percentile not a significant predictor of on-time graduation (predicted by age, undergraduate degree, and PY1 GPA) or dismissal (predicted by PY1 GPA)</w:t>
      </w:r>
      <w:r>
        <w:rPr>
          <w:rFonts w:ascii="Arial Narrow" w:hAnsi="Arial Narrow"/>
        </w:rPr>
        <w:t>.</w:t>
      </w:r>
    </w:p>
    <w:p w:rsidR="00DB1DD2" w:rsidRPr="009F7A8B" w:rsidRDefault="00093CE2" w:rsidP="00C4507E">
      <w:pPr>
        <w:pStyle w:val="ListParagraph"/>
        <w:numPr>
          <w:ilvl w:val="1"/>
          <w:numId w:val="3"/>
        </w:numPr>
        <w:spacing w:after="0"/>
        <w:ind w:left="1080"/>
        <w:rPr>
          <w:rFonts w:ascii="Arial Narrow" w:hAnsi="Arial Narrow"/>
        </w:rPr>
      </w:pPr>
      <w:r w:rsidRPr="00C4507E">
        <w:rPr>
          <w:rFonts w:ascii="Arial Narrow" w:hAnsi="Arial Narrow"/>
          <w:b/>
        </w:rPr>
        <w:t>RESIDENCY MATCHING</w:t>
      </w:r>
      <w:r w:rsidRPr="009F7A8B">
        <w:rPr>
          <w:rFonts w:ascii="Arial Narrow" w:hAnsi="Arial Narrow"/>
        </w:rPr>
        <w:t xml:space="preserve">. </w:t>
      </w:r>
      <w:r w:rsidR="00DB1DD2" w:rsidRPr="009F7A8B">
        <w:rPr>
          <w:rFonts w:ascii="Arial Narrow" w:hAnsi="Arial Narrow"/>
        </w:rPr>
        <w:t xml:space="preserve">From Feemster et al, 2017: </w:t>
      </w:r>
      <w:r w:rsidR="00DB1DD2" w:rsidRPr="009F7A8B">
        <w:rPr>
          <w:rFonts w:ascii="Arial Narrow" w:hAnsi="Arial Narrow"/>
          <w:i/>
        </w:rPr>
        <w:t xml:space="preserve">In the multivariable analysis, PCAT-Chemistry (OR = 0.979, </w:t>
      </w:r>
      <w:r w:rsidR="00DB1DD2" w:rsidRPr="009F7A8B">
        <w:rPr>
          <w:rFonts w:ascii="Arial Narrow" w:hAnsi="Arial Narrow"/>
          <w:i/>
          <w:iCs/>
        </w:rPr>
        <w:t>p</w:t>
      </w:r>
      <w:r w:rsidR="00DB1DD2" w:rsidRPr="009F7A8B">
        <w:rPr>
          <w:rFonts w:ascii="Arial Narrow" w:hAnsi="Arial Narrow"/>
          <w:i/>
        </w:rPr>
        <w:t xml:space="preserve"> = 0.0455), PCAT-Reading Comprehension (OR = 1.012, </w:t>
      </w:r>
      <w:r w:rsidR="00DB1DD2" w:rsidRPr="009F7A8B">
        <w:rPr>
          <w:rFonts w:ascii="Arial Narrow" w:hAnsi="Arial Narrow"/>
          <w:i/>
          <w:iCs/>
        </w:rPr>
        <w:t>p</w:t>
      </w:r>
      <w:r w:rsidR="00DB1DD2" w:rsidRPr="009F7A8B">
        <w:rPr>
          <w:rFonts w:ascii="Arial Narrow" w:hAnsi="Arial Narrow"/>
          <w:i/>
        </w:rPr>
        <w:t xml:space="preserve"> = 0.0428), and final grade point average (OR = 9.847, </w:t>
      </w:r>
      <w:r w:rsidR="00DB1DD2" w:rsidRPr="009F7A8B">
        <w:rPr>
          <w:rFonts w:ascii="Arial Narrow" w:hAnsi="Arial Narrow"/>
          <w:i/>
          <w:iCs/>
        </w:rPr>
        <w:t>p</w:t>
      </w:r>
      <w:r w:rsidR="00DB1DD2" w:rsidRPr="009F7A8B">
        <w:rPr>
          <w:rFonts w:ascii="Arial Narrow" w:hAnsi="Arial Narrow"/>
          <w:i/>
        </w:rPr>
        <w:t> &lt; 0.001) were significantly associated with match success</w:t>
      </w:r>
      <w:r w:rsidR="00DB1DD2" w:rsidRPr="009F7A8B">
        <w:rPr>
          <w:rFonts w:ascii="Arial Narrow" w:hAnsi="Arial Narrow"/>
        </w:rPr>
        <w:t>.</w:t>
      </w:r>
    </w:p>
    <w:p w:rsidR="00093CE2" w:rsidRPr="009F7A8B" w:rsidRDefault="00093CE2" w:rsidP="00C4507E">
      <w:pPr>
        <w:pStyle w:val="ListParagraph"/>
        <w:numPr>
          <w:ilvl w:val="1"/>
          <w:numId w:val="3"/>
        </w:numPr>
        <w:spacing w:after="0"/>
        <w:ind w:left="1080"/>
        <w:rPr>
          <w:rFonts w:ascii="Arial Narrow" w:hAnsi="Arial Narrow"/>
          <w:i/>
        </w:rPr>
      </w:pPr>
      <w:r w:rsidRPr="00C4507E">
        <w:rPr>
          <w:rFonts w:ascii="Arial Narrow" w:hAnsi="Arial Narrow"/>
          <w:b/>
        </w:rPr>
        <w:t>MJPE PASS RATE</w:t>
      </w:r>
      <w:r w:rsidRPr="009F7A8B">
        <w:rPr>
          <w:rFonts w:ascii="Arial Narrow" w:hAnsi="Arial Narrow"/>
        </w:rPr>
        <w:t xml:space="preserve">. From Mospan et al 2020: </w:t>
      </w:r>
      <w:r w:rsidRPr="009F7A8B">
        <w:rPr>
          <w:rFonts w:ascii="Arial Narrow" w:hAnsi="Arial Narrow"/>
          <w:i/>
        </w:rPr>
        <w:t>T</w:t>
      </w:r>
      <w:r w:rsidRPr="009F7A8B">
        <w:rPr>
          <w:rFonts w:ascii="Arial Narrow" w:hAnsi="Arial Narrow"/>
          <w:i/>
        </w:rPr>
        <w:t xml:space="preserve">here were no significant associations between NC MPJE scores and </w:t>
      </w:r>
      <w:r w:rsidRPr="009F7A8B">
        <w:rPr>
          <w:rFonts w:ascii="Arial Narrow" w:hAnsi="Arial Narrow"/>
          <w:i/>
        </w:rPr>
        <w:t>…</w:t>
      </w:r>
      <w:r w:rsidRPr="009F7A8B">
        <w:rPr>
          <w:rFonts w:ascii="Arial Narrow" w:hAnsi="Arial Narrow"/>
          <w:i/>
        </w:rPr>
        <w:t xml:space="preserve"> Pharmacy College Admission Test scores.</w:t>
      </w:r>
    </w:p>
    <w:p w:rsidR="00DB1DD2" w:rsidRPr="009F7A8B" w:rsidRDefault="009F7A8B" w:rsidP="00C4507E">
      <w:pPr>
        <w:pStyle w:val="ListParagraph"/>
        <w:numPr>
          <w:ilvl w:val="1"/>
          <w:numId w:val="3"/>
        </w:numPr>
        <w:spacing w:after="0"/>
        <w:ind w:left="1080"/>
        <w:rPr>
          <w:rFonts w:ascii="Arial Narrow" w:hAnsi="Arial Narrow"/>
        </w:rPr>
      </w:pPr>
      <w:r w:rsidRPr="00C4507E">
        <w:rPr>
          <w:rFonts w:ascii="Arial Narrow" w:hAnsi="Arial Narrow"/>
          <w:b/>
        </w:rPr>
        <w:t>LICENSURE EXAMS</w:t>
      </w:r>
      <w:r w:rsidRPr="009F7A8B">
        <w:rPr>
          <w:rFonts w:ascii="Arial Narrow" w:hAnsi="Arial Narrow"/>
        </w:rPr>
        <w:t xml:space="preserve">. From Cameron et al  2017: </w:t>
      </w:r>
      <w:r w:rsidRPr="009F7A8B">
        <w:rPr>
          <w:rFonts w:ascii="Arial Narrow" w:hAnsi="Arial Narrow"/>
          <w:i/>
        </w:rPr>
        <w:t>The PCAT, pre</w:t>
      </w:r>
      <w:r w:rsidRPr="009F7A8B">
        <w:rPr>
          <w:rFonts w:ascii="Cambria Math" w:hAnsi="Cambria Math" w:cs="Cambria Math"/>
          <w:i/>
        </w:rPr>
        <w:t>‐</w:t>
      </w:r>
      <w:r w:rsidRPr="009F7A8B">
        <w:rPr>
          <w:rFonts w:ascii="Arial Narrow" w:hAnsi="Arial Narrow"/>
          <w:i/>
        </w:rPr>
        <w:t>pharmacy GPA and a</w:t>
      </w:r>
      <w:r w:rsidR="007868E9">
        <w:rPr>
          <w:rFonts w:ascii="Arial Narrow" w:hAnsi="Arial Narrow"/>
          <w:i/>
        </w:rPr>
        <w:t>ge significantly predicted the [</w:t>
      </w:r>
      <w:r w:rsidRPr="009F7A8B">
        <w:rPr>
          <w:rFonts w:ascii="Arial Narrow" w:hAnsi="Arial Narrow"/>
          <w:i/>
        </w:rPr>
        <w:t>Phar</w:t>
      </w:r>
      <w:r w:rsidR="007868E9">
        <w:rPr>
          <w:rFonts w:ascii="Arial Narrow" w:hAnsi="Arial Narrow"/>
          <w:i/>
        </w:rPr>
        <w:t>macy Examining Board of Canada-PEBC]</w:t>
      </w:r>
      <w:r w:rsidRPr="009F7A8B">
        <w:rPr>
          <w:rFonts w:ascii="Arial Narrow" w:hAnsi="Arial Narrow"/>
          <w:i/>
        </w:rPr>
        <w:t xml:space="preserve"> </w:t>
      </w:r>
      <w:r w:rsidR="007868E9">
        <w:rPr>
          <w:rFonts w:ascii="Arial Narrow" w:hAnsi="Arial Narrow"/>
          <w:i/>
        </w:rPr>
        <w:t>-MCQ</w:t>
      </w:r>
      <w:r w:rsidRPr="009F7A8B">
        <w:rPr>
          <w:rFonts w:ascii="Arial Narrow" w:hAnsi="Arial Narrow"/>
          <w:i/>
        </w:rPr>
        <w:t xml:space="preserve"> overall score. The MMI was the only significant predictor of overall score on the PEBC –OSCE (β = 0.17, p = 0.02).</w:t>
      </w:r>
    </w:p>
    <w:p w:rsidR="001959D8" w:rsidRDefault="001959D8">
      <w:pPr>
        <w:rPr>
          <w:rFonts w:ascii="Arial Narrow" w:hAnsi="Arial Narrow"/>
        </w:rPr>
      </w:pPr>
    </w:p>
    <w:p w:rsidR="00690774" w:rsidRPr="00E542B4" w:rsidRDefault="00690774">
      <w:pPr>
        <w:rPr>
          <w:rFonts w:ascii="Arial Narrow" w:hAnsi="Arial Narrow"/>
        </w:rPr>
      </w:pPr>
    </w:p>
    <w:p w:rsidR="001959D8" w:rsidRPr="00690774" w:rsidRDefault="001959D8" w:rsidP="00690774">
      <w:pPr>
        <w:spacing w:after="0"/>
        <w:rPr>
          <w:rFonts w:ascii="Arial Narrow" w:hAnsi="Arial Narrow"/>
          <w:b/>
          <w:sz w:val="20"/>
          <w:szCs w:val="20"/>
        </w:rPr>
      </w:pPr>
      <w:r w:rsidRPr="00690774">
        <w:rPr>
          <w:rFonts w:ascii="Arial Narrow" w:hAnsi="Arial Narrow"/>
          <w:b/>
          <w:sz w:val="20"/>
          <w:szCs w:val="20"/>
        </w:rPr>
        <w:t>REFERENCES</w:t>
      </w:r>
      <w:r w:rsidR="00EF511F" w:rsidRPr="00690774">
        <w:rPr>
          <w:rFonts w:ascii="Arial Narrow" w:hAnsi="Arial Narrow"/>
          <w:b/>
          <w:sz w:val="20"/>
          <w:szCs w:val="20"/>
        </w:rPr>
        <w:t xml:space="preserve"> and RESOURCES</w:t>
      </w:r>
    </w:p>
    <w:p w:rsidR="009F7A8B" w:rsidRPr="009F7A8B" w:rsidRDefault="009F7A8B" w:rsidP="00690774">
      <w:pPr>
        <w:spacing w:after="0" w:line="240" w:lineRule="auto"/>
        <w:ind w:left="360" w:hanging="360"/>
        <w:rPr>
          <w:rFonts w:ascii="Arial Narrow" w:eastAsia="Times New Roman" w:hAnsi="Arial Narrow" w:cs="Times New Roman"/>
          <w:sz w:val="20"/>
          <w:szCs w:val="20"/>
        </w:rPr>
      </w:pPr>
      <w:r w:rsidRPr="009F7A8B">
        <w:rPr>
          <w:rFonts w:ascii="Arial Narrow" w:eastAsia="Times New Roman" w:hAnsi="Arial Narrow" w:cs="Times New Roman"/>
          <w:sz w:val="20"/>
          <w:szCs w:val="20"/>
        </w:rPr>
        <w:t>Cameron, A. J., MacKeigan, L. D., Mitsakakis, N., &amp; Pugsley, J. A. (2017). Multiple mini</w:t>
      </w:r>
      <w:r w:rsidRPr="009F7A8B">
        <w:rPr>
          <w:rFonts w:ascii="Cambria Math" w:eastAsia="Times New Roman" w:hAnsi="Cambria Math" w:cs="Cambria Math"/>
          <w:sz w:val="20"/>
          <w:szCs w:val="20"/>
        </w:rPr>
        <w:t>‐</w:t>
      </w:r>
      <w:r w:rsidRPr="009F7A8B">
        <w:rPr>
          <w:rFonts w:ascii="Arial Narrow" w:eastAsia="Times New Roman" w:hAnsi="Arial Narrow" w:cs="Times New Roman"/>
          <w:sz w:val="20"/>
          <w:szCs w:val="20"/>
        </w:rPr>
        <w:t xml:space="preserve">interview predictive validity for performance on a pharmacy licensing examination. </w:t>
      </w:r>
      <w:r w:rsidRPr="009F7A8B">
        <w:rPr>
          <w:rFonts w:ascii="Arial Narrow" w:eastAsia="Times New Roman" w:hAnsi="Arial Narrow" w:cs="Times New Roman"/>
          <w:i/>
          <w:iCs/>
          <w:sz w:val="20"/>
          <w:szCs w:val="20"/>
        </w:rPr>
        <w:t>Medical education</w:t>
      </w:r>
      <w:r w:rsidRPr="009F7A8B">
        <w:rPr>
          <w:rFonts w:ascii="Arial Narrow" w:eastAsia="Times New Roman" w:hAnsi="Arial Narrow" w:cs="Times New Roman"/>
          <w:sz w:val="20"/>
          <w:szCs w:val="20"/>
        </w:rPr>
        <w:t xml:space="preserve">, </w:t>
      </w:r>
      <w:r w:rsidRPr="009F7A8B">
        <w:rPr>
          <w:rFonts w:ascii="Arial Narrow" w:eastAsia="Times New Roman" w:hAnsi="Arial Narrow" w:cs="Times New Roman"/>
          <w:i/>
          <w:iCs/>
          <w:sz w:val="20"/>
          <w:szCs w:val="20"/>
        </w:rPr>
        <w:t>51</w:t>
      </w:r>
      <w:r w:rsidRPr="009F7A8B">
        <w:rPr>
          <w:rFonts w:ascii="Arial Narrow" w:eastAsia="Times New Roman" w:hAnsi="Arial Narrow" w:cs="Times New Roman"/>
          <w:sz w:val="20"/>
          <w:szCs w:val="20"/>
        </w:rPr>
        <w:t>(4), 379-389.</w:t>
      </w:r>
    </w:p>
    <w:p w:rsidR="001959D8" w:rsidRPr="00690774" w:rsidRDefault="001959D8" w:rsidP="00690774">
      <w:pPr>
        <w:spacing w:after="0" w:line="240" w:lineRule="auto"/>
        <w:ind w:left="360" w:hanging="360"/>
        <w:rPr>
          <w:rFonts w:ascii="Arial Narrow" w:eastAsia="Times New Roman" w:hAnsi="Arial Narrow" w:cs="Times New Roman"/>
          <w:sz w:val="20"/>
          <w:szCs w:val="20"/>
        </w:rPr>
      </w:pPr>
      <w:r w:rsidRPr="00690774">
        <w:rPr>
          <w:rFonts w:ascii="Arial Narrow" w:eastAsia="Times New Roman" w:hAnsi="Arial Narrow" w:cs="Times New Roman"/>
          <w:sz w:val="20"/>
          <w:szCs w:val="20"/>
        </w:rPr>
        <w:t xml:space="preserve">Evans, B. (2015). College Admission Testing in America. In Stead, V. (Ed.), </w:t>
      </w:r>
      <w:r w:rsidRPr="00690774">
        <w:rPr>
          <w:rFonts w:ascii="Arial Narrow" w:eastAsia="Times New Roman" w:hAnsi="Arial Narrow" w:cs="Times New Roman"/>
          <w:i/>
          <w:iCs/>
          <w:sz w:val="20"/>
          <w:szCs w:val="20"/>
        </w:rPr>
        <w:t>International Perspectives in Higher Education Admission Policy: A reader</w:t>
      </w:r>
      <w:r w:rsidRPr="00690774">
        <w:rPr>
          <w:rFonts w:ascii="Arial Narrow" w:eastAsia="Times New Roman" w:hAnsi="Arial Narrow" w:cs="Times New Roman"/>
          <w:sz w:val="20"/>
          <w:szCs w:val="20"/>
        </w:rPr>
        <w:t xml:space="preserve">. New York: Peter Lang Publishing. </w:t>
      </w:r>
    </w:p>
    <w:p w:rsidR="00DB1DD2" w:rsidRPr="00690774" w:rsidRDefault="00DB1DD2" w:rsidP="00690774">
      <w:pPr>
        <w:spacing w:after="0" w:line="240" w:lineRule="auto"/>
        <w:ind w:left="360" w:hanging="360"/>
        <w:rPr>
          <w:rFonts w:ascii="Arial Narrow" w:eastAsia="Times New Roman" w:hAnsi="Arial Narrow" w:cs="Times New Roman"/>
          <w:sz w:val="20"/>
          <w:szCs w:val="20"/>
        </w:rPr>
      </w:pPr>
      <w:r w:rsidRPr="00690774">
        <w:rPr>
          <w:rFonts w:ascii="Arial Narrow" w:eastAsia="Times New Roman" w:hAnsi="Arial Narrow" w:cs="Times New Roman"/>
          <w:sz w:val="20"/>
          <w:szCs w:val="20"/>
        </w:rPr>
        <w:t xml:space="preserve">Feemster, A., Calabrese, M., Gaitonde, P., &amp; Shaya, F. (2017). Characteristics of Pharmacy Students Associated with a Successful PGY1 Residency Match. </w:t>
      </w:r>
      <w:r w:rsidRPr="00690774">
        <w:rPr>
          <w:rFonts w:ascii="Arial Narrow" w:eastAsia="Times New Roman" w:hAnsi="Arial Narrow" w:cs="Times New Roman"/>
          <w:i/>
          <w:iCs/>
          <w:sz w:val="20"/>
          <w:szCs w:val="20"/>
        </w:rPr>
        <w:t>Medical Science Educator</w:t>
      </w:r>
      <w:r w:rsidRPr="00690774">
        <w:rPr>
          <w:rFonts w:ascii="Arial Narrow" w:eastAsia="Times New Roman" w:hAnsi="Arial Narrow" w:cs="Times New Roman"/>
          <w:sz w:val="20"/>
          <w:szCs w:val="20"/>
        </w:rPr>
        <w:t xml:space="preserve">, </w:t>
      </w:r>
      <w:r w:rsidRPr="00690774">
        <w:rPr>
          <w:rFonts w:ascii="Arial Narrow" w:eastAsia="Times New Roman" w:hAnsi="Arial Narrow" w:cs="Times New Roman"/>
          <w:i/>
          <w:iCs/>
          <w:sz w:val="20"/>
          <w:szCs w:val="20"/>
        </w:rPr>
        <w:t>27</w:t>
      </w:r>
      <w:r w:rsidRPr="00690774">
        <w:rPr>
          <w:rFonts w:ascii="Arial Narrow" w:eastAsia="Times New Roman" w:hAnsi="Arial Narrow" w:cs="Times New Roman"/>
          <w:sz w:val="20"/>
          <w:szCs w:val="20"/>
        </w:rPr>
        <w:t>(4), 607-611.</w:t>
      </w:r>
    </w:p>
    <w:p w:rsidR="001318EA" w:rsidRPr="001318EA" w:rsidRDefault="001318EA" w:rsidP="00690774">
      <w:pPr>
        <w:spacing w:after="0" w:line="240" w:lineRule="auto"/>
        <w:ind w:left="360" w:hanging="360"/>
        <w:rPr>
          <w:rFonts w:ascii="Arial Narrow" w:eastAsia="Times New Roman" w:hAnsi="Arial Narrow" w:cs="Times New Roman"/>
          <w:sz w:val="20"/>
          <w:szCs w:val="20"/>
        </w:rPr>
      </w:pPr>
      <w:r w:rsidRPr="001318EA">
        <w:rPr>
          <w:rFonts w:ascii="Arial Narrow" w:eastAsia="Times New Roman" w:hAnsi="Arial Narrow" w:cs="Times New Roman"/>
          <w:sz w:val="20"/>
          <w:szCs w:val="20"/>
        </w:rPr>
        <w:t xml:space="preserve">Heldenbrand, S. D., Dayer, L. E., Martin, B. C., O’Brien, C., Choi, A. N., Gubbins, P. O., ... &amp; Flowers, S. K. (2018). APPE Evaluations are Positively Associated with MMI, Pre-pharmacy GPA and Pharmacy GPA. </w:t>
      </w:r>
      <w:r w:rsidRPr="001318EA">
        <w:rPr>
          <w:rFonts w:ascii="Arial Narrow" w:eastAsia="Times New Roman" w:hAnsi="Arial Narrow" w:cs="Times New Roman"/>
          <w:i/>
          <w:iCs/>
          <w:sz w:val="20"/>
          <w:szCs w:val="20"/>
        </w:rPr>
        <w:t>American journal of pharmaceutical education</w:t>
      </w:r>
      <w:r w:rsidRPr="001318EA">
        <w:rPr>
          <w:rFonts w:ascii="Arial Narrow" w:eastAsia="Times New Roman" w:hAnsi="Arial Narrow" w:cs="Times New Roman"/>
          <w:sz w:val="20"/>
          <w:szCs w:val="20"/>
        </w:rPr>
        <w:t xml:space="preserve">, </w:t>
      </w:r>
      <w:r w:rsidRPr="001318EA">
        <w:rPr>
          <w:rFonts w:ascii="Arial Narrow" w:eastAsia="Times New Roman" w:hAnsi="Arial Narrow" w:cs="Times New Roman"/>
          <w:i/>
          <w:iCs/>
          <w:sz w:val="20"/>
          <w:szCs w:val="20"/>
        </w:rPr>
        <w:t>82</w:t>
      </w:r>
      <w:r w:rsidRPr="001318EA">
        <w:rPr>
          <w:rFonts w:ascii="Arial Narrow" w:eastAsia="Times New Roman" w:hAnsi="Arial Narrow" w:cs="Times New Roman"/>
          <w:sz w:val="20"/>
          <w:szCs w:val="20"/>
        </w:rPr>
        <w:t>(7).</w:t>
      </w:r>
    </w:p>
    <w:p w:rsidR="001959D8" w:rsidRPr="00690774" w:rsidRDefault="001959D8" w:rsidP="00690774">
      <w:pPr>
        <w:spacing w:after="0"/>
        <w:ind w:left="360" w:hanging="360"/>
        <w:rPr>
          <w:rFonts w:ascii="Arial Narrow" w:hAnsi="Arial Narrow"/>
          <w:sz w:val="20"/>
          <w:szCs w:val="20"/>
        </w:rPr>
      </w:pPr>
      <w:r w:rsidRPr="00690774">
        <w:rPr>
          <w:rFonts w:ascii="Arial Narrow" w:hAnsi="Arial Narrow"/>
          <w:sz w:val="20"/>
          <w:szCs w:val="20"/>
        </w:rPr>
        <w:t xml:space="preserve">Mogannam, L. (2018). Test-optional creates change. Accessed June 3, 2020 from </w:t>
      </w:r>
      <w:r w:rsidRPr="00690774">
        <w:rPr>
          <w:rFonts w:ascii="Arial Narrow" w:hAnsi="Arial Narrow"/>
          <w:sz w:val="20"/>
          <w:szCs w:val="20"/>
        </w:rPr>
        <w:t>https://broadview.sacredsf.org/14643/news/institutions-open-doors</w:t>
      </w:r>
    </w:p>
    <w:p w:rsidR="00093CE2" w:rsidRPr="00093CE2" w:rsidRDefault="00093CE2" w:rsidP="00690774">
      <w:pPr>
        <w:spacing w:after="0" w:line="240" w:lineRule="auto"/>
        <w:ind w:left="360" w:hanging="360"/>
        <w:rPr>
          <w:rFonts w:ascii="Arial Narrow" w:eastAsia="Times New Roman" w:hAnsi="Arial Narrow" w:cs="Times New Roman"/>
          <w:sz w:val="20"/>
          <w:szCs w:val="20"/>
        </w:rPr>
      </w:pPr>
      <w:r w:rsidRPr="00093CE2">
        <w:rPr>
          <w:rFonts w:ascii="Arial Narrow" w:eastAsia="Times New Roman" w:hAnsi="Arial Narrow" w:cs="Times New Roman"/>
          <w:sz w:val="20"/>
          <w:szCs w:val="20"/>
        </w:rPr>
        <w:t xml:space="preserve">Mospan, G., Gillette, C., &amp; Mospan, C. M. (2020). Predictors of performance on the North Carolina Multistate Pharmacy Jurisprudence Examination. </w:t>
      </w:r>
      <w:r w:rsidRPr="00093CE2">
        <w:rPr>
          <w:rFonts w:ascii="Arial Narrow" w:eastAsia="Times New Roman" w:hAnsi="Arial Narrow" w:cs="Times New Roman"/>
          <w:i/>
          <w:iCs/>
          <w:sz w:val="20"/>
          <w:szCs w:val="20"/>
        </w:rPr>
        <w:t>Currents in Pharmacy Teaching and Learning</w:t>
      </w:r>
      <w:r w:rsidRPr="00093CE2">
        <w:rPr>
          <w:rFonts w:ascii="Arial Narrow" w:eastAsia="Times New Roman" w:hAnsi="Arial Narrow" w:cs="Times New Roman"/>
          <w:sz w:val="20"/>
          <w:szCs w:val="20"/>
        </w:rPr>
        <w:t xml:space="preserve">, </w:t>
      </w:r>
      <w:r w:rsidRPr="00093CE2">
        <w:rPr>
          <w:rFonts w:ascii="Arial Narrow" w:eastAsia="Times New Roman" w:hAnsi="Arial Narrow" w:cs="Times New Roman"/>
          <w:i/>
          <w:iCs/>
          <w:sz w:val="20"/>
          <w:szCs w:val="20"/>
        </w:rPr>
        <w:t>12</w:t>
      </w:r>
      <w:r w:rsidRPr="00093CE2">
        <w:rPr>
          <w:rFonts w:ascii="Arial Narrow" w:eastAsia="Times New Roman" w:hAnsi="Arial Narrow" w:cs="Times New Roman"/>
          <w:sz w:val="20"/>
          <w:szCs w:val="20"/>
        </w:rPr>
        <w:t>(1), 35-40.</w:t>
      </w:r>
    </w:p>
    <w:p w:rsidR="00DB1DD2" w:rsidRPr="00690774" w:rsidRDefault="00DB1DD2" w:rsidP="00690774">
      <w:pPr>
        <w:spacing w:after="0" w:line="240" w:lineRule="auto"/>
        <w:ind w:left="360" w:hanging="360"/>
        <w:rPr>
          <w:rFonts w:ascii="Arial Narrow" w:eastAsia="Times New Roman" w:hAnsi="Arial Narrow" w:cs="Times New Roman"/>
          <w:sz w:val="20"/>
          <w:szCs w:val="20"/>
        </w:rPr>
      </w:pPr>
      <w:r w:rsidRPr="00690774">
        <w:rPr>
          <w:rFonts w:ascii="Arial Narrow" w:eastAsia="Times New Roman" w:hAnsi="Arial Narrow" w:cs="Times New Roman"/>
          <w:sz w:val="20"/>
          <w:szCs w:val="20"/>
        </w:rPr>
        <w:t xml:space="preserve">Soares, J. A. (2015). </w:t>
      </w:r>
      <w:r w:rsidRPr="00690774">
        <w:rPr>
          <w:rFonts w:ascii="Arial Narrow" w:eastAsia="Times New Roman" w:hAnsi="Arial Narrow" w:cs="Times New Roman"/>
          <w:i/>
          <w:iCs/>
          <w:sz w:val="20"/>
          <w:szCs w:val="20"/>
        </w:rPr>
        <w:t>SAT wars: The case for test-optional college admissions</w:t>
      </w:r>
      <w:r w:rsidRPr="00690774">
        <w:rPr>
          <w:rFonts w:ascii="Arial Narrow" w:eastAsia="Times New Roman" w:hAnsi="Arial Narrow" w:cs="Times New Roman"/>
          <w:sz w:val="20"/>
          <w:szCs w:val="20"/>
        </w:rPr>
        <w:t>. Teachers College Press.</w:t>
      </w:r>
    </w:p>
    <w:p w:rsidR="009A1A32" w:rsidRPr="009A1A32" w:rsidRDefault="009A1A32" w:rsidP="00690774">
      <w:pPr>
        <w:spacing w:after="0" w:line="240" w:lineRule="auto"/>
        <w:ind w:left="360" w:hanging="360"/>
        <w:rPr>
          <w:rFonts w:ascii="Arial Narrow" w:eastAsia="Times New Roman" w:hAnsi="Arial Narrow" w:cs="Times New Roman"/>
          <w:sz w:val="20"/>
          <w:szCs w:val="20"/>
        </w:rPr>
      </w:pPr>
      <w:r w:rsidRPr="009A1A32">
        <w:rPr>
          <w:rFonts w:ascii="Arial Narrow" w:eastAsia="Times New Roman" w:hAnsi="Arial Narrow" w:cs="Times New Roman"/>
          <w:sz w:val="20"/>
          <w:szCs w:val="20"/>
        </w:rPr>
        <w:t xml:space="preserve">Spivey, C. A., Chisholm-Burns, M. A., &amp; Johnson, J. L. (2019). Factors Associated with Academic Progression and NAPLEX Performance Among Student Pharmacists. </w:t>
      </w:r>
      <w:r w:rsidRPr="009A1A32">
        <w:rPr>
          <w:rFonts w:ascii="Arial Narrow" w:eastAsia="Times New Roman" w:hAnsi="Arial Narrow" w:cs="Times New Roman"/>
          <w:i/>
          <w:iCs/>
          <w:sz w:val="20"/>
          <w:szCs w:val="20"/>
        </w:rPr>
        <w:t>American Journal of Pharmaceutical Education</w:t>
      </w:r>
      <w:r w:rsidRPr="009A1A32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E542B4" w:rsidRPr="00690774" w:rsidRDefault="00E542B4" w:rsidP="00690774">
      <w:pPr>
        <w:spacing w:after="0"/>
        <w:ind w:left="360" w:hanging="360"/>
        <w:rPr>
          <w:rFonts w:ascii="Arial Narrow" w:hAnsi="Arial Narrow"/>
          <w:sz w:val="20"/>
          <w:szCs w:val="20"/>
        </w:rPr>
      </w:pPr>
      <w:r w:rsidRPr="00690774">
        <w:rPr>
          <w:rFonts w:ascii="Arial Narrow" w:hAnsi="Arial Narrow"/>
          <w:sz w:val="20"/>
          <w:szCs w:val="20"/>
        </w:rPr>
        <w:t>UC Office of the President (2020). University of California Board of Regents unanimously approved changes to standardized testing requirement for undergraduates. Accessed June 3, 2020 from https://www.universityofcalifornia.edu/press-room/university-california-board-regents-approves-changes-standardized-testing-requirement</w:t>
      </w:r>
    </w:p>
    <w:p w:rsidR="00272E9D" w:rsidRPr="00690774" w:rsidRDefault="00272E9D" w:rsidP="00690774">
      <w:pPr>
        <w:spacing w:after="0" w:line="240" w:lineRule="auto"/>
        <w:ind w:left="360" w:hanging="360"/>
        <w:rPr>
          <w:rFonts w:ascii="Arial Narrow" w:eastAsia="Times New Roman" w:hAnsi="Arial Narrow" w:cs="Times New Roman"/>
          <w:sz w:val="20"/>
          <w:szCs w:val="20"/>
        </w:rPr>
      </w:pPr>
      <w:r w:rsidRPr="00690774">
        <w:rPr>
          <w:rFonts w:ascii="Arial Narrow" w:eastAsia="Times New Roman" w:hAnsi="Arial Narrow" w:cs="Times New Roman"/>
          <w:sz w:val="20"/>
          <w:szCs w:val="20"/>
        </w:rPr>
        <w:t xml:space="preserve">Williams, J. S., Metcalfe, A., Shelton, C. M., &amp; Spivey, C. A. (2019). Examining the Association of GPA and PCAT Scores on Objective Structured Clinical Examination Scores. </w:t>
      </w:r>
      <w:r w:rsidRPr="00690774">
        <w:rPr>
          <w:rFonts w:ascii="Arial Narrow" w:eastAsia="Times New Roman" w:hAnsi="Arial Narrow" w:cs="Times New Roman"/>
          <w:i/>
          <w:iCs/>
          <w:sz w:val="20"/>
          <w:szCs w:val="20"/>
        </w:rPr>
        <w:t>American Journal of Pharmaceutical Education</w:t>
      </w:r>
      <w:r w:rsidRPr="00690774">
        <w:rPr>
          <w:rFonts w:ascii="Arial Narrow" w:eastAsia="Times New Roman" w:hAnsi="Arial Narrow" w:cs="Times New Roman"/>
          <w:sz w:val="20"/>
          <w:szCs w:val="20"/>
        </w:rPr>
        <w:t xml:space="preserve">, </w:t>
      </w:r>
      <w:r w:rsidRPr="00690774">
        <w:rPr>
          <w:rFonts w:ascii="Arial Narrow" w:eastAsia="Times New Roman" w:hAnsi="Arial Narrow" w:cs="Times New Roman"/>
          <w:i/>
          <w:iCs/>
          <w:sz w:val="20"/>
          <w:szCs w:val="20"/>
        </w:rPr>
        <w:t>83</w:t>
      </w:r>
      <w:r w:rsidRPr="00690774">
        <w:rPr>
          <w:rFonts w:ascii="Arial Narrow" w:eastAsia="Times New Roman" w:hAnsi="Arial Narrow" w:cs="Times New Roman"/>
          <w:sz w:val="20"/>
          <w:szCs w:val="20"/>
        </w:rPr>
        <w:t>(4).</w:t>
      </w:r>
    </w:p>
    <w:p w:rsidR="00272E9D" w:rsidRPr="00690774" w:rsidRDefault="00272E9D" w:rsidP="00690774">
      <w:pPr>
        <w:spacing w:after="0"/>
        <w:ind w:left="270" w:hanging="270"/>
        <w:rPr>
          <w:rFonts w:ascii="Arial Narrow" w:hAnsi="Arial Narrow"/>
          <w:sz w:val="20"/>
          <w:szCs w:val="20"/>
        </w:rPr>
      </w:pPr>
    </w:p>
    <w:sectPr w:rsidR="00272E9D" w:rsidRPr="0069077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1A1" w:rsidRDefault="003911A1" w:rsidP="00A57E6B">
      <w:pPr>
        <w:spacing w:after="0" w:line="240" w:lineRule="auto"/>
      </w:pPr>
      <w:r>
        <w:separator/>
      </w:r>
    </w:p>
  </w:endnote>
  <w:endnote w:type="continuationSeparator" w:id="0">
    <w:p w:rsidR="003911A1" w:rsidRDefault="003911A1" w:rsidP="00A5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4799984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20"/>
      </w:rPr>
    </w:sdtEndPr>
    <w:sdtContent>
      <w:p w:rsidR="00690774" w:rsidRPr="00690774" w:rsidRDefault="00690774">
        <w:pPr>
          <w:pStyle w:val="Footer"/>
          <w:jc w:val="right"/>
          <w:rPr>
            <w:rFonts w:ascii="Arial Narrow" w:hAnsi="Arial Narrow"/>
            <w:sz w:val="20"/>
          </w:rPr>
        </w:pPr>
        <w:r w:rsidRPr="00690774">
          <w:rPr>
            <w:rFonts w:ascii="Arial Narrow" w:hAnsi="Arial Narrow"/>
            <w:sz w:val="20"/>
          </w:rPr>
          <w:fldChar w:fldCharType="begin"/>
        </w:r>
        <w:r w:rsidRPr="00690774">
          <w:rPr>
            <w:rFonts w:ascii="Arial Narrow" w:hAnsi="Arial Narrow"/>
            <w:sz w:val="20"/>
          </w:rPr>
          <w:instrText xml:space="preserve"> PAGE   \* MERGEFORMAT </w:instrText>
        </w:r>
        <w:r w:rsidRPr="00690774">
          <w:rPr>
            <w:rFonts w:ascii="Arial Narrow" w:hAnsi="Arial Narrow"/>
            <w:sz w:val="20"/>
          </w:rPr>
          <w:fldChar w:fldCharType="separate"/>
        </w:r>
        <w:r w:rsidR="003911A1">
          <w:rPr>
            <w:rFonts w:ascii="Arial Narrow" w:hAnsi="Arial Narrow"/>
            <w:noProof/>
            <w:sz w:val="20"/>
          </w:rPr>
          <w:t>1</w:t>
        </w:r>
        <w:r w:rsidRPr="00690774">
          <w:rPr>
            <w:rFonts w:ascii="Arial Narrow" w:hAnsi="Arial Narrow"/>
            <w:noProof/>
            <w:sz w:val="20"/>
          </w:rPr>
          <w:fldChar w:fldCharType="end"/>
        </w:r>
      </w:p>
    </w:sdtContent>
  </w:sdt>
  <w:p w:rsidR="00690774" w:rsidRDefault="00690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1A1" w:rsidRDefault="003911A1" w:rsidP="00A57E6B">
      <w:pPr>
        <w:spacing w:after="0" w:line="240" w:lineRule="auto"/>
      </w:pPr>
      <w:r>
        <w:separator/>
      </w:r>
    </w:p>
  </w:footnote>
  <w:footnote w:type="continuationSeparator" w:id="0">
    <w:p w:rsidR="003911A1" w:rsidRDefault="003911A1" w:rsidP="00A57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E6B" w:rsidRPr="00A57E6B" w:rsidRDefault="00A57E6B" w:rsidP="00A57E6B">
    <w:pPr>
      <w:pStyle w:val="Header"/>
      <w:jc w:val="right"/>
      <w:rPr>
        <w:sz w:val="20"/>
      </w:rPr>
    </w:pPr>
    <w:r w:rsidRPr="00A57E6B">
      <w:rPr>
        <w:sz w:val="20"/>
      </w:rPr>
      <w:t>[McLaughlin, v1, 3jun20]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909"/>
    <w:multiLevelType w:val="hybridMultilevel"/>
    <w:tmpl w:val="24D6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55C31"/>
    <w:multiLevelType w:val="hybridMultilevel"/>
    <w:tmpl w:val="F5F8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526B6"/>
    <w:multiLevelType w:val="hybridMultilevel"/>
    <w:tmpl w:val="A61A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34151"/>
    <w:multiLevelType w:val="hybridMultilevel"/>
    <w:tmpl w:val="F5E62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74"/>
    <w:rsid w:val="00093CE2"/>
    <w:rsid w:val="001318EA"/>
    <w:rsid w:val="001959D8"/>
    <w:rsid w:val="00231990"/>
    <w:rsid w:val="00237764"/>
    <w:rsid w:val="00272E9D"/>
    <w:rsid w:val="002C5B74"/>
    <w:rsid w:val="003911A1"/>
    <w:rsid w:val="0061280E"/>
    <w:rsid w:val="00690774"/>
    <w:rsid w:val="006B7E04"/>
    <w:rsid w:val="00763D5D"/>
    <w:rsid w:val="007868E9"/>
    <w:rsid w:val="00793335"/>
    <w:rsid w:val="007D4AC2"/>
    <w:rsid w:val="009055EC"/>
    <w:rsid w:val="009212E4"/>
    <w:rsid w:val="009A1A32"/>
    <w:rsid w:val="009F7A8B"/>
    <w:rsid w:val="00A57E6B"/>
    <w:rsid w:val="00B84441"/>
    <w:rsid w:val="00C4507E"/>
    <w:rsid w:val="00DB1DD2"/>
    <w:rsid w:val="00E542B4"/>
    <w:rsid w:val="00E55370"/>
    <w:rsid w:val="00E67079"/>
    <w:rsid w:val="00E83707"/>
    <w:rsid w:val="00ED04EA"/>
    <w:rsid w:val="00EF511F"/>
    <w:rsid w:val="00F8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CD9D7"/>
  <w15:chartTrackingRefBased/>
  <w15:docId w15:val="{CB5B66AE-12B0-414F-ADEB-EAE81EAC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9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6B"/>
  </w:style>
  <w:style w:type="paragraph" w:styleId="Footer">
    <w:name w:val="footer"/>
    <w:basedOn w:val="Normal"/>
    <w:link w:val="FooterChar"/>
    <w:uiPriority w:val="99"/>
    <w:unhideWhenUsed/>
    <w:rsid w:val="00A57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6B"/>
  </w:style>
  <w:style w:type="character" w:customStyle="1" w:styleId="field-content">
    <w:name w:val="field-content"/>
    <w:basedOn w:val="DefaultParagraphFont"/>
    <w:rsid w:val="001959D8"/>
  </w:style>
  <w:style w:type="character" w:styleId="Emphasis">
    <w:name w:val="Emphasis"/>
    <w:basedOn w:val="DefaultParagraphFont"/>
    <w:uiPriority w:val="20"/>
    <w:qFormat/>
    <w:rsid w:val="001959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Jacqui</dc:creator>
  <cp:keywords/>
  <dc:description/>
  <cp:lastModifiedBy>McLaughlin, Jacqui</cp:lastModifiedBy>
  <cp:revision>25</cp:revision>
  <dcterms:created xsi:type="dcterms:W3CDTF">2020-06-02T19:48:00Z</dcterms:created>
  <dcterms:modified xsi:type="dcterms:W3CDTF">2020-06-03T11:41:00Z</dcterms:modified>
</cp:coreProperties>
</file>