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5C3" w:rsidRDefault="00933B65" w:rsidP="00AC11F4">
      <w:pPr>
        <w:tabs>
          <w:tab w:val="left" w:pos="360"/>
        </w:tabs>
        <w:spacing w:after="0" w:line="240" w:lineRule="auto"/>
        <w:jc w:val="both"/>
        <w:rPr>
          <w:rFonts w:ascii="Garamond" w:eastAsia="Times New Roman" w:hAnsi="Garamond" w:cs="Times New Roman"/>
          <w:b/>
        </w:rPr>
      </w:pPr>
      <w:r>
        <w:rPr>
          <w:rFonts w:ascii="Garamond" w:eastAsia="Times New Roman" w:hAnsi="Garamond" w:cs="Times New Roman"/>
          <w:b/>
        </w:rPr>
        <w:t>UNC’s Eshelman School of Pharmacy publications in the scholarship of education have been sourced from individuals and select search engines.  Therefore, it is possible that some publications may have been missed or overlooked in the data collection process.</w:t>
      </w:r>
    </w:p>
    <w:p w:rsidR="00933B65" w:rsidRDefault="00933B65" w:rsidP="00AC11F4">
      <w:pPr>
        <w:tabs>
          <w:tab w:val="left" w:pos="360"/>
        </w:tabs>
        <w:spacing w:after="0" w:line="240" w:lineRule="auto"/>
        <w:jc w:val="both"/>
        <w:rPr>
          <w:rFonts w:ascii="Garamond" w:eastAsia="Times New Roman" w:hAnsi="Garamond" w:cs="Times New Roman"/>
          <w:b/>
        </w:rPr>
      </w:pPr>
    </w:p>
    <w:p w:rsidR="00CB2069" w:rsidRDefault="00CB2069" w:rsidP="00CB2069">
      <w:pPr>
        <w:tabs>
          <w:tab w:val="left" w:pos="360"/>
        </w:tabs>
        <w:spacing w:after="0" w:line="240" w:lineRule="auto"/>
        <w:jc w:val="both"/>
        <w:rPr>
          <w:rFonts w:ascii="Garamond" w:eastAsia="Times New Roman" w:hAnsi="Garamond" w:cs="Times New Roman"/>
          <w:b/>
        </w:rPr>
      </w:pPr>
      <w:r>
        <w:rPr>
          <w:rFonts w:ascii="Garamond" w:eastAsia="Times New Roman" w:hAnsi="Garamond" w:cs="Times New Roman"/>
          <w:b/>
        </w:rPr>
        <w:t>2019 (44 publications):</w:t>
      </w:r>
    </w:p>
    <w:p w:rsidR="00CB2069" w:rsidRPr="00F34C5F" w:rsidRDefault="00CB2069" w:rsidP="00CB2069">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Morbitzer KA, Eckel SF. Association between student characteristics and rankings when applying for a residency in health-system pharmacy administration. </w:t>
      </w:r>
      <w:r w:rsidRPr="00F34C5F">
        <w:rPr>
          <w:rFonts w:ascii="Garamond" w:eastAsia="Times New Roman" w:hAnsi="Garamond" w:cs="Times New Roman"/>
          <w:i/>
        </w:rPr>
        <w:t>Am J Health Syst Pharm</w:t>
      </w:r>
      <w:r w:rsidRPr="00F34C5F">
        <w:rPr>
          <w:rFonts w:ascii="Garamond" w:eastAsia="Times New Roman" w:hAnsi="Garamond" w:cs="Times New Roman"/>
        </w:rPr>
        <w:t>. 2019 Nov 13;76(23):1944-1950. doi: 10.1093/ajhp/zxz216. PMID: 31605104.</w:t>
      </w:r>
    </w:p>
    <w:p w:rsidR="00CB2069" w:rsidRPr="00F34C5F" w:rsidRDefault="00CB2069" w:rsidP="00CB2069">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fldChar w:fldCharType="begin"/>
      </w:r>
      <w:r w:rsidRPr="00F34C5F">
        <w:rPr>
          <w:rFonts w:ascii="Garamond" w:eastAsia="Times New Roman" w:hAnsi="Garamond" w:cs="Times New Roman"/>
        </w:rPr>
        <w:instrText>ADDIN F1000_CSL_BIBLIOGRAPHY</w:instrText>
      </w:r>
      <w:r w:rsidRPr="00F34C5F">
        <w:rPr>
          <w:rFonts w:ascii="Garamond" w:eastAsia="Times New Roman" w:hAnsi="Garamond" w:cs="Times New Roman"/>
        </w:rPr>
        <w:fldChar w:fldCharType="separate"/>
      </w:r>
      <w:r w:rsidRPr="00F34C5F">
        <w:rPr>
          <w:rFonts w:ascii="Garamond" w:eastAsia="Times New Roman" w:hAnsi="Garamond" w:cs="Times New Roman"/>
        </w:rPr>
        <w:t xml:space="preserve">Terenyi J, Anksorus H, Persky AM. Optimizing the spacing of retrieval practice to improve pharmacy students’ learning of drug names. </w:t>
      </w:r>
      <w:r w:rsidRPr="00F34C5F">
        <w:rPr>
          <w:rFonts w:ascii="Garamond" w:eastAsia="Times New Roman" w:hAnsi="Garamond" w:cs="Times New Roman"/>
          <w:i/>
        </w:rPr>
        <w:t>Am J Pharm Educ</w:t>
      </w:r>
      <w:r w:rsidRPr="00F34C5F">
        <w:rPr>
          <w:rFonts w:ascii="Garamond" w:eastAsia="Times New Roman" w:hAnsi="Garamond" w:cs="Times New Roman"/>
        </w:rPr>
        <w:t>. 2019;83(6):7029. doi:10.5688/ajpe7029</w:t>
      </w:r>
    </w:p>
    <w:p w:rsidR="00CB2069" w:rsidRPr="00F34C5F" w:rsidRDefault="00CB2069" w:rsidP="00CB2069">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Minshew LM, McLaughlin JE. Authorship considerations for publishing in pharmacy education journals. </w:t>
      </w:r>
      <w:r w:rsidRPr="00F34C5F">
        <w:rPr>
          <w:rFonts w:ascii="Garamond" w:eastAsia="Times New Roman" w:hAnsi="Garamond" w:cs="Times New Roman"/>
          <w:i/>
        </w:rPr>
        <w:t>Am J Pharm Educ</w:t>
      </w:r>
      <w:r w:rsidRPr="00F34C5F">
        <w:rPr>
          <w:rFonts w:ascii="Garamond" w:eastAsia="Times New Roman" w:hAnsi="Garamond" w:cs="Times New Roman"/>
        </w:rPr>
        <w:t>. 2019;83(6):7463. doi:10.5688/ajpe7463</w:t>
      </w:r>
    </w:p>
    <w:p w:rsidR="00CB2069" w:rsidRPr="00F34C5F" w:rsidRDefault="00CB2069" w:rsidP="00CB2069">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McLaughlin JE, Minshew LM, Gonzalez D, Lamb K, Klus N, Aube J, Cox WC, Brouwer KLR. Can they imagine the future? A qualitative study exploring the skills employers seek in pharmaceutical sciences doctoral graduates. </w:t>
      </w:r>
      <w:r w:rsidRPr="00F34C5F">
        <w:rPr>
          <w:rFonts w:ascii="Garamond" w:eastAsia="Times New Roman" w:hAnsi="Garamond" w:cs="Times New Roman"/>
          <w:i/>
        </w:rPr>
        <w:t>PLoS One</w:t>
      </w:r>
      <w:r w:rsidRPr="00F34C5F">
        <w:rPr>
          <w:rFonts w:ascii="Garamond" w:eastAsia="Times New Roman" w:hAnsi="Garamond" w:cs="Times New Roman"/>
        </w:rPr>
        <w:t>. 2019;14(9):e0222422. doi:10.1371/journal.pone.0222422</w:t>
      </w:r>
    </w:p>
    <w:p w:rsidR="00CB2069" w:rsidRPr="00F34C5F" w:rsidRDefault="00CB2069" w:rsidP="00CB2069">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Persky AM, Dinsmore DL. Metacognitive changes and sources of confidence judgements in health professions classroom learning. </w:t>
      </w:r>
      <w:r w:rsidRPr="00F34C5F">
        <w:rPr>
          <w:rFonts w:ascii="Garamond" w:eastAsia="Times New Roman" w:hAnsi="Garamond" w:cs="Times New Roman"/>
          <w:i/>
        </w:rPr>
        <w:t>Curr Pharm Teach Learn</w:t>
      </w:r>
      <w:r w:rsidRPr="00F34C5F">
        <w:rPr>
          <w:rFonts w:ascii="Garamond" w:eastAsia="Times New Roman" w:hAnsi="Garamond" w:cs="Times New Roman"/>
        </w:rPr>
        <w:t>. 2019;11(4):338-345. doi:10.1016/j.cptl.2019.01.005</w:t>
      </w:r>
    </w:p>
    <w:p w:rsidR="00CB2069" w:rsidRPr="00F34C5F" w:rsidRDefault="00CB2069" w:rsidP="00CB2069">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Wolcott MD, Lobczowski NG, Lyons K, McLaughlin JE. Design-based research: Connecting theory and practice in pharmacy educational intervention research. </w:t>
      </w:r>
      <w:r w:rsidRPr="00F34C5F">
        <w:rPr>
          <w:rFonts w:ascii="Garamond" w:eastAsia="Times New Roman" w:hAnsi="Garamond" w:cs="Times New Roman"/>
          <w:i/>
        </w:rPr>
        <w:t>Curr Pharm Teach Learn</w:t>
      </w:r>
      <w:r w:rsidRPr="00F34C5F">
        <w:rPr>
          <w:rFonts w:ascii="Garamond" w:eastAsia="Times New Roman" w:hAnsi="Garamond" w:cs="Times New Roman"/>
        </w:rPr>
        <w:t>. 2019;11(3):309-318. doi:10.1016/j.cptl.2018.12.002</w:t>
      </w:r>
    </w:p>
    <w:p w:rsidR="00CB2069" w:rsidRPr="00F34C5F" w:rsidRDefault="00CB2069" w:rsidP="00CB2069">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Persky AM, Medina MS, Castleberry AN. Developing Critical Thinking Skills in Pharmacy Students. </w:t>
      </w:r>
      <w:r w:rsidRPr="00F34C5F">
        <w:rPr>
          <w:rFonts w:ascii="Garamond" w:eastAsia="Times New Roman" w:hAnsi="Garamond" w:cs="Times New Roman"/>
          <w:i/>
        </w:rPr>
        <w:t>Am J Pharm Educ</w:t>
      </w:r>
      <w:r w:rsidRPr="00F34C5F">
        <w:rPr>
          <w:rFonts w:ascii="Garamond" w:eastAsia="Times New Roman" w:hAnsi="Garamond" w:cs="Times New Roman"/>
        </w:rPr>
        <w:t>. 2019;83(2):7033. doi:10.5688/ajpe7033</w:t>
      </w:r>
    </w:p>
    <w:p w:rsidR="00CB2069" w:rsidRPr="00F34C5F" w:rsidRDefault="00CB2069" w:rsidP="00CB2069">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Patel B, Yook G, Mislan S, Persky AM. Exploring Consequences on Memory of Students Knowing They Have Access to Recorded Lectures. </w:t>
      </w:r>
      <w:r w:rsidRPr="00F34C5F">
        <w:rPr>
          <w:rFonts w:ascii="Garamond" w:eastAsia="Times New Roman" w:hAnsi="Garamond" w:cs="Times New Roman"/>
          <w:i/>
        </w:rPr>
        <w:t>Am J Pharm Educ</w:t>
      </w:r>
      <w:r w:rsidRPr="00F34C5F">
        <w:rPr>
          <w:rFonts w:ascii="Garamond" w:eastAsia="Times New Roman" w:hAnsi="Garamond" w:cs="Times New Roman"/>
        </w:rPr>
        <w:t>. 2019; 83(5):6958. doi:10.5688/ajpe6958</w:t>
      </w:r>
    </w:p>
    <w:p w:rsidR="00CB2069" w:rsidRPr="00F34C5F" w:rsidRDefault="00CB2069" w:rsidP="00CB2069">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Patel B, Mislan S, Yook G, Persky AM. Recorded Lectures as a Source of Cognitive Off-loading. </w:t>
      </w:r>
      <w:r w:rsidRPr="00F34C5F">
        <w:rPr>
          <w:rFonts w:ascii="Garamond" w:eastAsia="Times New Roman" w:hAnsi="Garamond" w:cs="Times New Roman"/>
          <w:i/>
        </w:rPr>
        <w:t>Am J Pharm Educ</w:t>
      </w:r>
      <w:r w:rsidRPr="00F34C5F">
        <w:rPr>
          <w:rFonts w:ascii="Garamond" w:eastAsia="Times New Roman" w:hAnsi="Garamond" w:cs="Times New Roman"/>
        </w:rPr>
        <w:t>. 2019;83(5):6793. doi:10.5688/ajpe6793</w:t>
      </w:r>
    </w:p>
    <w:p w:rsidR="00CB2069" w:rsidRPr="00F34C5F" w:rsidRDefault="00CB2069" w:rsidP="00CB2069">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Persky AM, Greene JM, Anksorus H, Fuller KA, McLaughlin JE. Developing a Comprehensive First-year Capstone to Assess and Inform Student Learning and Curriculum Effectiveness. </w:t>
      </w:r>
      <w:r w:rsidRPr="00F34C5F">
        <w:rPr>
          <w:rFonts w:ascii="Garamond" w:eastAsia="Times New Roman" w:hAnsi="Garamond" w:cs="Times New Roman"/>
          <w:i/>
        </w:rPr>
        <w:t>Am J Pharm Educ</w:t>
      </w:r>
      <w:r w:rsidRPr="00F34C5F">
        <w:rPr>
          <w:rFonts w:ascii="Garamond" w:eastAsia="Times New Roman" w:hAnsi="Garamond" w:cs="Times New Roman"/>
        </w:rPr>
        <w:t>. 2019;83(5):6730. doi:10.5688/ajpe6730</w:t>
      </w:r>
    </w:p>
    <w:p w:rsidR="00CB2069" w:rsidRPr="00F34C5F" w:rsidRDefault="00CB2069" w:rsidP="00CB2069">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Steeb DR, Dascanio SA, Kiser SN. Connecting rural and global health education for workforce development. </w:t>
      </w:r>
      <w:r w:rsidRPr="00F34C5F">
        <w:rPr>
          <w:rFonts w:ascii="Garamond" w:eastAsia="Times New Roman" w:hAnsi="Garamond" w:cs="Times New Roman"/>
          <w:i/>
        </w:rPr>
        <w:t>Am J Trop Med Hyg</w:t>
      </w:r>
      <w:r w:rsidRPr="00F34C5F">
        <w:rPr>
          <w:rFonts w:ascii="Garamond" w:eastAsia="Times New Roman" w:hAnsi="Garamond" w:cs="Times New Roman"/>
        </w:rPr>
        <w:t>. 2019;101(3):479-481. doi:10.4269/ajtmh.19-0067</w:t>
      </w:r>
    </w:p>
    <w:p w:rsidR="00CB2069" w:rsidRPr="00F34C5F" w:rsidRDefault="00CB2069" w:rsidP="00CB2069">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Darst EC, Shrewsbury RP. The positive impact of an extended intervention on dosing accuracy of student compounded suspensions. </w:t>
      </w:r>
      <w:r w:rsidRPr="00F34C5F">
        <w:rPr>
          <w:rFonts w:ascii="Garamond" w:eastAsia="Times New Roman" w:hAnsi="Garamond" w:cs="Times New Roman"/>
          <w:i/>
        </w:rPr>
        <w:t>Am J Pharm Educ</w:t>
      </w:r>
      <w:r w:rsidRPr="00F34C5F">
        <w:rPr>
          <w:rFonts w:ascii="Garamond" w:eastAsia="Times New Roman" w:hAnsi="Garamond" w:cs="Times New Roman"/>
        </w:rPr>
        <w:t>. 2019;83(5):6781. doi:10.5688/ajpe6781</w:t>
      </w:r>
    </w:p>
    <w:p w:rsidR="00CB2069" w:rsidRPr="00F34C5F" w:rsidRDefault="00CB2069" w:rsidP="00CB2069">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Law MG, Maposa P, Chambula E, Steeb DR, Eckel SF, Duncan G. Knowledge, attitudes and practice of final-year student pharmacists in public health in Namibia, Zambia and Zimbabwe: an exploratory survey. </w:t>
      </w:r>
      <w:r w:rsidRPr="00F34C5F">
        <w:rPr>
          <w:rFonts w:ascii="Garamond" w:eastAsia="Times New Roman" w:hAnsi="Garamond" w:cs="Times New Roman"/>
          <w:i/>
        </w:rPr>
        <w:t>Int J Pharm Pract</w:t>
      </w:r>
      <w:r w:rsidRPr="00F34C5F">
        <w:rPr>
          <w:rFonts w:ascii="Garamond" w:eastAsia="Times New Roman" w:hAnsi="Garamond" w:cs="Times New Roman"/>
        </w:rPr>
        <w:t>. 2019;27(1):55-62. doi:10.1111/ijpp.12460</w:t>
      </w:r>
    </w:p>
    <w:p w:rsidR="00CB2069" w:rsidRPr="00F34C5F" w:rsidRDefault="00CB2069" w:rsidP="00CB2069">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Ulrich IP, Hitch WJ, Steeb DR, Seamon G, Farrar M, Gilmer B, Santin A. Reflections and interdisciplinary perceptions of pharmacy learners on an international medical brigade. </w:t>
      </w:r>
      <w:r w:rsidRPr="00F34C5F">
        <w:rPr>
          <w:rFonts w:ascii="Garamond" w:eastAsia="Times New Roman" w:hAnsi="Garamond" w:cs="Times New Roman"/>
          <w:i/>
        </w:rPr>
        <w:t>Curr Pharm Teach Learn</w:t>
      </w:r>
      <w:r w:rsidRPr="00F34C5F">
        <w:rPr>
          <w:rFonts w:ascii="Garamond" w:eastAsia="Times New Roman" w:hAnsi="Garamond" w:cs="Times New Roman"/>
        </w:rPr>
        <w:t>. 2019;11(12):1316-1322. doi:10.1016/j.cptl.2019.09.018</w:t>
      </w:r>
    </w:p>
    <w:p w:rsidR="00CB2069" w:rsidRPr="00F34C5F" w:rsidRDefault="00CB2069" w:rsidP="00CB2069">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Rodgers PT, Cheng V, Bush AA, Williams C. Characteristics of significant events identified by pharmacy students while on early immersion pharmacy practice experiences. </w:t>
      </w:r>
      <w:r w:rsidRPr="00F34C5F">
        <w:rPr>
          <w:rFonts w:ascii="Garamond" w:eastAsia="Times New Roman" w:hAnsi="Garamond" w:cs="Times New Roman"/>
          <w:i/>
        </w:rPr>
        <w:t>Pharm Pract (Granada)</w:t>
      </w:r>
      <w:r w:rsidRPr="00F34C5F">
        <w:rPr>
          <w:rFonts w:ascii="Garamond" w:eastAsia="Times New Roman" w:hAnsi="Garamond" w:cs="Times New Roman"/>
        </w:rPr>
        <w:t>. 2019;17(4):1571. doi:10.18549/PharmPract.2019.4.1571</w:t>
      </w:r>
    </w:p>
    <w:p w:rsidR="00CB2069" w:rsidRPr="00F34C5F" w:rsidRDefault="00CB2069" w:rsidP="00CB2069">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lastRenderedPageBreak/>
        <w:t xml:space="preserve">Lee RK, Shrewsbury RP. Potency analyses provide insight into student aseptic compounding technique errors. </w:t>
      </w:r>
      <w:r w:rsidRPr="00F34C5F">
        <w:rPr>
          <w:rFonts w:ascii="Garamond" w:eastAsia="Times New Roman" w:hAnsi="Garamond" w:cs="Times New Roman"/>
          <w:i/>
        </w:rPr>
        <w:t>Am J Pharm Educ</w:t>
      </w:r>
      <w:r w:rsidRPr="00F34C5F">
        <w:rPr>
          <w:rFonts w:ascii="Garamond" w:eastAsia="Times New Roman" w:hAnsi="Garamond" w:cs="Times New Roman"/>
        </w:rPr>
        <w:t>. 2019;83(9):7338. doi:10.5688/ajpe7338</w:t>
      </w:r>
    </w:p>
    <w:p w:rsidR="00CB2069" w:rsidRPr="00F34C5F" w:rsidRDefault="00CB2069" w:rsidP="00CB2069">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Tak C, Henchey C, Feehan M, Munger MA. Modeling doctor of pharmacy students’ stress, satisfaction, and professionalism over time. </w:t>
      </w:r>
      <w:r w:rsidRPr="00F34C5F">
        <w:rPr>
          <w:rFonts w:ascii="Garamond" w:eastAsia="Times New Roman" w:hAnsi="Garamond" w:cs="Times New Roman"/>
          <w:i/>
        </w:rPr>
        <w:t>Am J Pharm Educ</w:t>
      </w:r>
      <w:r w:rsidRPr="00F34C5F">
        <w:rPr>
          <w:rFonts w:ascii="Garamond" w:eastAsia="Times New Roman" w:hAnsi="Garamond" w:cs="Times New Roman"/>
        </w:rPr>
        <w:t>. 2019;83(9):7432. doi:10.5688/ajpe7432</w:t>
      </w:r>
    </w:p>
    <w:p w:rsidR="00CB2069" w:rsidRPr="00F34C5F" w:rsidRDefault="00CB2069" w:rsidP="00CB2069">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Zeeman JM, Kang I, Angelo TA. Assessing student academic time use: assumptions, predictions and realities. </w:t>
      </w:r>
      <w:r w:rsidRPr="00F34C5F">
        <w:rPr>
          <w:rFonts w:ascii="Garamond" w:eastAsia="Times New Roman" w:hAnsi="Garamond" w:cs="Times New Roman"/>
          <w:i/>
        </w:rPr>
        <w:t>Med Educ</w:t>
      </w:r>
      <w:r w:rsidRPr="00F34C5F">
        <w:rPr>
          <w:rFonts w:ascii="Garamond" w:eastAsia="Times New Roman" w:hAnsi="Garamond" w:cs="Times New Roman"/>
        </w:rPr>
        <w:t>. 2019;53(3):285-295. doi:10.1111/medu.13761</w:t>
      </w:r>
    </w:p>
    <w:p w:rsidR="00CB2069" w:rsidRPr="00F34C5F" w:rsidRDefault="00CB2069" w:rsidP="00CB2069">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Rodgers PT, Fecteau A, Leadon KI. Student perceptions of the value they bring to APPE sites. </w:t>
      </w:r>
      <w:r w:rsidRPr="00F34C5F">
        <w:rPr>
          <w:rFonts w:ascii="Garamond" w:eastAsia="Times New Roman" w:hAnsi="Garamond" w:cs="Times New Roman"/>
          <w:i/>
        </w:rPr>
        <w:t>Curr Pharm Teach Learn</w:t>
      </w:r>
      <w:r w:rsidRPr="00F34C5F">
        <w:rPr>
          <w:rFonts w:ascii="Garamond" w:eastAsia="Times New Roman" w:hAnsi="Garamond" w:cs="Times New Roman"/>
        </w:rPr>
        <w:t>. 2019;11(10):1035-1040. doi:10.1016/j.cptl.2019.06.006</w:t>
      </w:r>
    </w:p>
    <w:p w:rsidR="00CB2069" w:rsidRPr="00F34C5F" w:rsidRDefault="00CB2069" w:rsidP="00CB2069">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Chargualaf MJ, Giao TT, Abrahamson AC, Steeb D, Law M, Bates J, Nedi T, Muluneh B. Layered learning pharmacy practice model in Ethiopia. </w:t>
      </w:r>
      <w:r w:rsidRPr="00F34C5F">
        <w:rPr>
          <w:rFonts w:ascii="Garamond" w:eastAsia="Times New Roman" w:hAnsi="Garamond" w:cs="Times New Roman"/>
          <w:i/>
        </w:rPr>
        <w:t>J Oncol Pharm Pract</w:t>
      </w:r>
      <w:r w:rsidRPr="00F34C5F">
        <w:rPr>
          <w:rFonts w:ascii="Garamond" w:eastAsia="Times New Roman" w:hAnsi="Garamond" w:cs="Times New Roman"/>
        </w:rPr>
        <w:t>. 2019;25(7):1699-1704. doi:10.1177/1078155218820105</w:t>
      </w:r>
    </w:p>
    <w:p w:rsidR="00CB2069" w:rsidRPr="00F34C5F" w:rsidRDefault="00CB2069" w:rsidP="00CB2069">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Steeb DR, Urick BY, Sleath BL, Joyner PU. Institutional factors associated with global health education across US pharmacy schools. </w:t>
      </w:r>
      <w:r w:rsidRPr="00F34C5F">
        <w:rPr>
          <w:rFonts w:ascii="Garamond" w:eastAsia="Times New Roman" w:hAnsi="Garamond" w:cs="Times New Roman"/>
          <w:i/>
        </w:rPr>
        <w:t>Curr Pharm Teach Learn</w:t>
      </w:r>
      <w:r w:rsidRPr="00F34C5F">
        <w:rPr>
          <w:rFonts w:ascii="Garamond" w:eastAsia="Times New Roman" w:hAnsi="Garamond" w:cs="Times New Roman"/>
        </w:rPr>
        <w:t>. 2019;11(8):767-773. doi:10.1016/j.cptl.2019.04.004</w:t>
      </w:r>
    </w:p>
    <w:p w:rsidR="00CB2069" w:rsidRPr="00F34C5F" w:rsidRDefault="00CB2069" w:rsidP="00CB2069">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Urick BY, Meggs EV. Towards a Greater Professional Standing: Evolution of Pharmacy Practice and Education, 1920-2020. </w:t>
      </w:r>
      <w:r w:rsidRPr="00F34C5F">
        <w:rPr>
          <w:rFonts w:ascii="Garamond" w:eastAsia="Times New Roman" w:hAnsi="Garamond" w:cs="Times New Roman"/>
          <w:i/>
        </w:rPr>
        <w:t>Pharmacy (Basel)</w:t>
      </w:r>
      <w:r w:rsidRPr="00F34C5F">
        <w:rPr>
          <w:rFonts w:ascii="Garamond" w:eastAsia="Times New Roman" w:hAnsi="Garamond" w:cs="Times New Roman"/>
        </w:rPr>
        <w:t>. 2019;7(3). doi:10.3390/pharmacy7030098</w:t>
      </w:r>
    </w:p>
    <w:p w:rsidR="00CB2069" w:rsidRPr="00F34C5F" w:rsidRDefault="00CB2069" w:rsidP="00CB2069">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Kang K, Ortiz Lopez CF, Fear BS, Granko RP. Tactics to improve resilience and well-being among pharmacy students. </w:t>
      </w:r>
      <w:r w:rsidRPr="00F34C5F">
        <w:rPr>
          <w:rFonts w:ascii="Garamond" w:eastAsia="Times New Roman" w:hAnsi="Garamond" w:cs="Times New Roman"/>
          <w:i/>
        </w:rPr>
        <w:t>Am J Health Syst Pharm</w:t>
      </w:r>
      <w:r w:rsidRPr="00F34C5F">
        <w:rPr>
          <w:rFonts w:ascii="Garamond" w:eastAsia="Times New Roman" w:hAnsi="Garamond" w:cs="Times New Roman"/>
        </w:rPr>
        <w:t>. 2019;76(18):1374-1376. doi:10.1093/ajhp/zxz143</w:t>
      </w:r>
    </w:p>
    <w:p w:rsidR="00CB2069" w:rsidRPr="00F34C5F" w:rsidRDefault="00CB2069" w:rsidP="00CB2069">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Anksorus HN, Bradley CL, Porter AL, VanLangen KM, Donohoe KL. Establishing a successful teaching assistant program in pharmacy skills laboratory courses. </w:t>
      </w:r>
      <w:r w:rsidRPr="00F34C5F">
        <w:rPr>
          <w:rFonts w:ascii="Garamond" w:eastAsia="Times New Roman" w:hAnsi="Garamond" w:cs="Times New Roman"/>
          <w:i/>
        </w:rPr>
        <w:t>Curr Pharm Teach Learn</w:t>
      </w:r>
      <w:r w:rsidRPr="00F34C5F">
        <w:rPr>
          <w:rFonts w:ascii="Garamond" w:eastAsia="Times New Roman" w:hAnsi="Garamond" w:cs="Times New Roman"/>
        </w:rPr>
        <w:t>. 2019;11(8):760-766. doi:10.1016/j.cptl.2019.04.003</w:t>
      </w:r>
    </w:p>
    <w:p w:rsidR="00CB2069" w:rsidRPr="00F34C5F" w:rsidRDefault="00CB2069" w:rsidP="00CB2069">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Brown JN, Gordon SE, Tillman F, Jacob S, Britnell SR. Assessing the economic value of pharmacy resident participation in an investigational drug service. </w:t>
      </w:r>
      <w:r w:rsidRPr="00F34C5F">
        <w:rPr>
          <w:rFonts w:ascii="Garamond" w:eastAsia="Times New Roman" w:hAnsi="Garamond" w:cs="Times New Roman"/>
          <w:i/>
        </w:rPr>
        <w:t>J Pharm Pract</w:t>
      </w:r>
      <w:r w:rsidRPr="00F34C5F">
        <w:rPr>
          <w:rFonts w:ascii="Garamond" w:eastAsia="Times New Roman" w:hAnsi="Garamond" w:cs="Times New Roman"/>
        </w:rPr>
        <w:t>. June 2019:897190019850938. doi:10.1177/0897190019850938</w:t>
      </w:r>
    </w:p>
    <w:p w:rsidR="00CB2069" w:rsidRPr="00F34C5F" w:rsidRDefault="00CB2069" w:rsidP="00CB2069">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Bush AA, Amechi MH. Conducting and presenting qualitative research in pharmacy education. </w:t>
      </w:r>
      <w:r w:rsidRPr="00F34C5F">
        <w:rPr>
          <w:rFonts w:ascii="Garamond" w:eastAsia="Times New Roman" w:hAnsi="Garamond" w:cs="Times New Roman"/>
          <w:i/>
        </w:rPr>
        <w:t>Curr Pharm Teach Learn</w:t>
      </w:r>
      <w:r w:rsidRPr="00F34C5F">
        <w:rPr>
          <w:rFonts w:ascii="Garamond" w:eastAsia="Times New Roman" w:hAnsi="Garamond" w:cs="Times New Roman"/>
        </w:rPr>
        <w:t>. 2019;11(6):638-650. doi:10.1016/j.cptl.2019.02.030</w:t>
      </w:r>
    </w:p>
    <w:p w:rsidR="00CB2069" w:rsidRPr="00F34C5F" w:rsidRDefault="00CB2069" w:rsidP="00CB2069">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Morbitzer KA, Rao KV, Rhoney DH, Pappas AL, Durr EA, Sultan SM, Eckel SF, Savage SW, Daniels BR, Pinelli NR. Implementation of the flipped residency research model to enhance residency research training. </w:t>
      </w:r>
      <w:r w:rsidRPr="00F34C5F">
        <w:rPr>
          <w:rFonts w:ascii="Garamond" w:eastAsia="Times New Roman" w:hAnsi="Garamond" w:cs="Times New Roman"/>
          <w:i/>
        </w:rPr>
        <w:t>Am J Health Syst Pharm</w:t>
      </w:r>
      <w:r w:rsidRPr="00F34C5F">
        <w:rPr>
          <w:rFonts w:ascii="Garamond" w:eastAsia="Times New Roman" w:hAnsi="Garamond" w:cs="Times New Roman"/>
        </w:rPr>
        <w:t>. 2019;76(9):608-612. doi:10.1093/ajhp/zxz064</w:t>
      </w:r>
    </w:p>
    <w:p w:rsidR="00CB2069" w:rsidRPr="00F34C5F" w:rsidRDefault="00CB2069" w:rsidP="00CB2069">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Anderson SM, Geyer S, Cailor SM, Chen AMH. Impact of a team-based learning drug misuse education training program on student pharmacists’ confidence. </w:t>
      </w:r>
      <w:r w:rsidRPr="00F34C5F">
        <w:rPr>
          <w:rFonts w:ascii="Garamond" w:eastAsia="Times New Roman" w:hAnsi="Garamond" w:cs="Times New Roman"/>
          <w:i/>
        </w:rPr>
        <w:t>Curr Pharm Teach Learn</w:t>
      </w:r>
      <w:r w:rsidRPr="00F34C5F">
        <w:rPr>
          <w:rFonts w:ascii="Garamond" w:eastAsia="Times New Roman" w:hAnsi="Garamond" w:cs="Times New Roman"/>
        </w:rPr>
        <w:t>. 2019;11(1):58-65. doi:10.1016/j.cptl.2018.09.016</w:t>
      </w:r>
    </w:p>
    <w:p w:rsidR="00CB2069" w:rsidRPr="00F34C5F" w:rsidRDefault="00CB2069" w:rsidP="00CB2069">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Witry MJ, Urick BY. Knowledge and comfort change with an active learning activity on medication adherence calculations. </w:t>
      </w:r>
      <w:r w:rsidRPr="00F34C5F">
        <w:rPr>
          <w:rFonts w:ascii="Garamond" w:eastAsia="Times New Roman" w:hAnsi="Garamond" w:cs="Times New Roman"/>
          <w:i/>
        </w:rPr>
        <w:t>Curr Pharm Teach Learn</w:t>
      </w:r>
      <w:r w:rsidRPr="00F34C5F">
        <w:rPr>
          <w:rFonts w:ascii="Garamond" w:eastAsia="Times New Roman" w:hAnsi="Garamond" w:cs="Times New Roman"/>
        </w:rPr>
        <w:t>. 2019;11(2):155-159. doi:10.1016/j.cptl.2018.11.008</w:t>
      </w:r>
    </w:p>
    <w:p w:rsidR="00CB2069" w:rsidRPr="00F34C5F" w:rsidRDefault="00CB2069" w:rsidP="00CB2069">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Persky AM, Murphy K. Investigating whether transfer of learning in pharmacy students depends more on knowledge storage or accessibility. </w:t>
      </w:r>
      <w:r w:rsidRPr="00F34C5F">
        <w:rPr>
          <w:rFonts w:ascii="Garamond" w:eastAsia="Times New Roman" w:hAnsi="Garamond" w:cs="Times New Roman"/>
          <w:i/>
        </w:rPr>
        <w:t>Am J Pharm Educ</w:t>
      </w:r>
      <w:r w:rsidRPr="00F34C5F">
        <w:rPr>
          <w:rFonts w:ascii="Garamond" w:eastAsia="Times New Roman" w:hAnsi="Garamond" w:cs="Times New Roman"/>
        </w:rPr>
        <w:t>. 2019;83(6):6809. doi:10.5688/ajpe6809</w:t>
      </w:r>
    </w:p>
    <w:p w:rsidR="00CB2069" w:rsidRPr="00F34C5F" w:rsidRDefault="00CB2069" w:rsidP="00CB2069">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Persky AM, Kang I, Cox WC, McLaughlin JE. An Exploration of the Relationships Between Multiple Mini-Interview Scores and Personality Traits. </w:t>
      </w:r>
      <w:r w:rsidRPr="00F34C5F">
        <w:rPr>
          <w:rFonts w:ascii="Garamond" w:eastAsia="Times New Roman" w:hAnsi="Garamond" w:cs="Times New Roman"/>
          <w:i/>
        </w:rPr>
        <w:t>Am J Pharm Educ</w:t>
      </w:r>
      <w:r w:rsidRPr="00F34C5F">
        <w:rPr>
          <w:rFonts w:ascii="Garamond" w:eastAsia="Times New Roman" w:hAnsi="Garamond" w:cs="Times New Roman"/>
        </w:rPr>
        <w:t>. 2019;83(8):7240. doi:10.5688/ajpe7240</w:t>
      </w:r>
    </w:p>
    <w:p w:rsidR="00CB2069" w:rsidRPr="00F34C5F" w:rsidRDefault="00CB2069" w:rsidP="00CB2069">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Lyons K, McLaughlin JE, Wolcott MD, Grandy R, Williams CR. How Pharmacist Preceptors Foster Students’ Therapeutic Reasoning Using the One-Minute Preceptor Method. </w:t>
      </w:r>
      <w:r w:rsidRPr="00F34C5F">
        <w:rPr>
          <w:rFonts w:ascii="Garamond" w:eastAsia="Times New Roman" w:hAnsi="Garamond" w:cs="Times New Roman"/>
          <w:i/>
        </w:rPr>
        <w:t>Am J Pharm Educ</w:t>
      </w:r>
      <w:r w:rsidRPr="00F34C5F">
        <w:rPr>
          <w:rFonts w:ascii="Garamond" w:eastAsia="Times New Roman" w:hAnsi="Garamond" w:cs="Times New Roman"/>
        </w:rPr>
        <w:t>. 2019;83(8):7212. doi:10.5688/ajpe7212</w:t>
      </w:r>
    </w:p>
    <w:p w:rsidR="00CB2069" w:rsidRPr="00F34C5F" w:rsidRDefault="00CB2069" w:rsidP="00CB2069">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Rhodes LA, Marciniak MW, McLaughlin J, Melendez CR, Leadon KI, Pinelli NR. Exploratory analysis of entrustable professional activities as a performance measure during early pharmacy practice experiences. </w:t>
      </w:r>
      <w:r w:rsidRPr="00F34C5F">
        <w:rPr>
          <w:rFonts w:ascii="Garamond" w:eastAsia="Times New Roman" w:hAnsi="Garamond" w:cs="Times New Roman"/>
          <w:i/>
        </w:rPr>
        <w:t>Am J Pharm Educ</w:t>
      </w:r>
      <w:r w:rsidRPr="00F34C5F">
        <w:rPr>
          <w:rFonts w:ascii="Garamond" w:eastAsia="Times New Roman" w:hAnsi="Garamond" w:cs="Times New Roman"/>
        </w:rPr>
        <w:t>. 2019;83(2):6517. doi:10.5688/ajpe6517</w:t>
      </w:r>
    </w:p>
    <w:p w:rsidR="00CB2069" w:rsidRPr="00F34C5F" w:rsidRDefault="00CB2069" w:rsidP="00CB2069">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Rodino AM, Wolcott MD. Assessing preceptor use of cognitive apprenticeship: is the Maastricht Clinical Teaching Questionnaire (MCTQ) a useful approach? </w:t>
      </w:r>
      <w:r w:rsidRPr="00F34C5F">
        <w:rPr>
          <w:rFonts w:ascii="Garamond" w:eastAsia="Times New Roman" w:hAnsi="Garamond" w:cs="Times New Roman"/>
          <w:i/>
        </w:rPr>
        <w:t>Teach Learn Med</w:t>
      </w:r>
      <w:r w:rsidRPr="00F34C5F">
        <w:rPr>
          <w:rFonts w:ascii="Garamond" w:eastAsia="Times New Roman" w:hAnsi="Garamond" w:cs="Times New Roman"/>
        </w:rPr>
        <w:t>. 2019;31(5):506-518. doi:10.1080/10401334.2019.1604356</w:t>
      </w:r>
    </w:p>
    <w:p w:rsidR="00CB2069" w:rsidRPr="00F34C5F" w:rsidRDefault="00CB2069" w:rsidP="00CB2069">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McLaughlin JE, Wolcott MD, Hubbard D, Umstead K, Rider TR. A qualitative review of the design thinking framework in health professions education. </w:t>
      </w:r>
      <w:r w:rsidRPr="00F34C5F">
        <w:rPr>
          <w:rFonts w:ascii="Garamond" w:eastAsia="Times New Roman" w:hAnsi="Garamond" w:cs="Times New Roman"/>
          <w:i/>
        </w:rPr>
        <w:t>BMC Med Educ</w:t>
      </w:r>
      <w:r w:rsidRPr="00F34C5F">
        <w:rPr>
          <w:rFonts w:ascii="Garamond" w:eastAsia="Times New Roman" w:hAnsi="Garamond" w:cs="Times New Roman"/>
        </w:rPr>
        <w:t>. 2019;19(1):98. doi:10.1186/s12909-019-1528-8</w:t>
      </w:r>
    </w:p>
    <w:p w:rsidR="00CB2069" w:rsidRPr="00F34C5F" w:rsidRDefault="00CB2069" w:rsidP="00CB2069">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Wolcott MD, Lupton-Smith C, Cox WC, McLaughlin JE. A Five-Minute Situational Judgment Test to Assess Empathy in First-Year Student Pharmacists. </w:t>
      </w:r>
      <w:r w:rsidRPr="00F34C5F">
        <w:rPr>
          <w:rFonts w:ascii="Garamond" w:eastAsia="Times New Roman" w:hAnsi="Garamond" w:cs="Times New Roman"/>
          <w:i/>
        </w:rPr>
        <w:t>Am J Pharm Educ</w:t>
      </w:r>
      <w:r w:rsidRPr="00F34C5F">
        <w:rPr>
          <w:rFonts w:ascii="Garamond" w:eastAsia="Times New Roman" w:hAnsi="Garamond" w:cs="Times New Roman"/>
        </w:rPr>
        <w:t>. 2019;83(6):6960. doi:10.5688/ajpe6960</w:t>
      </w:r>
    </w:p>
    <w:p w:rsidR="00CB2069" w:rsidRPr="00F34C5F" w:rsidRDefault="00CB2069" w:rsidP="00CB2069">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Zeeman JM, Bush AA, Cox WC, Buhlinger K, McLaughlin JE. Identifying and mapping skill development opportunities through pharmacy student organization involvement. </w:t>
      </w:r>
      <w:r w:rsidRPr="00F34C5F">
        <w:rPr>
          <w:rFonts w:ascii="Garamond" w:eastAsia="Times New Roman" w:hAnsi="Garamond" w:cs="Times New Roman"/>
          <w:i/>
        </w:rPr>
        <w:t>Am J Pharm Educ</w:t>
      </w:r>
      <w:r w:rsidRPr="00F34C5F">
        <w:rPr>
          <w:rFonts w:ascii="Garamond" w:eastAsia="Times New Roman" w:hAnsi="Garamond" w:cs="Times New Roman"/>
        </w:rPr>
        <w:t>. 2019;83(4):6950. doi:10.5688/ajpe6950</w:t>
      </w:r>
    </w:p>
    <w:p w:rsidR="00CB2069" w:rsidRPr="00F34C5F" w:rsidRDefault="00CB2069" w:rsidP="00CB2069">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Yang BW, Razo J, Persky AM. Using testing as a learning tool. </w:t>
      </w:r>
      <w:r w:rsidRPr="00F34C5F">
        <w:rPr>
          <w:rFonts w:ascii="Garamond" w:eastAsia="Times New Roman" w:hAnsi="Garamond" w:cs="Times New Roman"/>
          <w:i/>
        </w:rPr>
        <w:t>Am J Pharm Educ</w:t>
      </w:r>
      <w:r w:rsidRPr="00F34C5F">
        <w:rPr>
          <w:rFonts w:ascii="Garamond" w:eastAsia="Times New Roman" w:hAnsi="Garamond" w:cs="Times New Roman"/>
        </w:rPr>
        <w:t>. 2019;83(9):7324. doi:10.5688/ajpe7324</w:t>
      </w:r>
    </w:p>
    <w:p w:rsidR="00CB2069" w:rsidRPr="00F34C5F" w:rsidRDefault="00CB2069" w:rsidP="00CB2069">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Omary A, Persky AM. Changes in working memory performance over an academic semester in student pharmacists. </w:t>
      </w:r>
      <w:r w:rsidRPr="00F34C5F">
        <w:rPr>
          <w:rFonts w:ascii="Garamond" w:eastAsia="Times New Roman" w:hAnsi="Garamond" w:cs="Times New Roman"/>
          <w:i/>
        </w:rPr>
        <w:t>Am J Pharm Educ</w:t>
      </w:r>
      <w:r w:rsidRPr="00F34C5F">
        <w:rPr>
          <w:rFonts w:ascii="Garamond" w:eastAsia="Times New Roman" w:hAnsi="Garamond" w:cs="Times New Roman"/>
        </w:rPr>
        <w:t>. 2019;83(10):7325. doi:10.5688/ajpe7325</w:t>
      </w:r>
    </w:p>
    <w:p w:rsidR="00CB2069" w:rsidRPr="00F34C5F" w:rsidRDefault="00CB2069" w:rsidP="00CB2069">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Zeeman JM, Bush AA, Cox WC, McLaughlin JE. Assessing the Co-Curriculum by Mapping Student Organization Involvement to Curricular Outcomes Using Mixed Methods. </w:t>
      </w:r>
      <w:r w:rsidRPr="00F34C5F">
        <w:rPr>
          <w:rFonts w:ascii="Garamond" w:eastAsia="Times New Roman" w:hAnsi="Garamond" w:cs="Times New Roman"/>
          <w:i/>
        </w:rPr>
        <w:t>Am J Pharm Educ</w:t>
      </w:r>
      <w:r w:rsidRPr="00F34C5F">
        <w:rPr>
          <w:rFonts w:ascii="Garamond" w:eastAsia="Times New Roman" w:hAnsi="Garamond" w:cs="Times New Roman"/>
        </w:rPr>
        <w:t>. 2019;83(10):7354. doi:10.5688/ajpe7354</w:t>
      </w:r>
    </w:p>
    <w:p w:rsidR="00CB2069" w:rsidRPr="00F34C5F" w:rsidRDefault="00CB2069" w:rsidP="00CB2069">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Palmer S, Chu Y, Persky AM. Comparison of Rewatching Class Recordings versus Retrieval Practice as Post-Lecture Learning Strategies. </w:t>
      </w:r>
      <w:r w:rsidRPr="00F34C5F">
        <w:rPr>
          <w:rFonts w:ascii="Garamond" w:eastAsia="Times New Roman" w:hAnsi="Garamond" w:cs="Times New Roman"/>
          <w:i/>
        </w:rPr>
        <w:t>Am J Pharm Educ</w:t>
      </w:r>
      <w:r w:rsidRPr="00F34C5F">
        <w:rPr>
          <w:rFonts w:ascii="Garamond" w:eastAsia="Times New Roman" w:hAnsi="Garamond" w:cs="Times New Roman"/>
        </w:rPr>
        <w:t>. 2019;83(9):7217. doi:10.5688/ajpe7217</w:t>
      </w:r>
    </w:p>
    <w:p w:rsidR="00CB2069" w:rsidRPr="00F34C5F" w:rsidRDefault="00CB2069" w:rsidP="00CB2069">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Vest M-H, Petrovskis MG, Savage SW, </w:t>
      </w:r>
      <w:r>
        <w:rPr>
          <w:rFonts w:ascii="Garamond" w:eastAsia="Times New Roman" w:hAnsi="Garamond" w:cs="Times New Roman"/>
        </w:rPr>
        <w:t>Pinelli NR, Pappas AL, Morbitzer KA, Eckel SF, Rhoney DH, Rao KV</w:t>
      </w:r>
      <w:r w:rsidRPr="00F34C5F">
        <w:rPr>
          <w:rFonts w:ascii="Garamond" w:eastAsia="Times New Roman" w:hAnsi="Garamond" w:cs="Times New Roman"/>
        </w:rPr>
        <w:t xml:space="preserve">. Impact of an innovative partnership in patient care between an academic medical center department of pharmacy and a school of pharmacy. </w:t>
      </w:r>
      <w:r w:rsidRPr="00F34C5F">
        <w:rPr>
          <w:rFonts w:ascii="Garamond" w:eastAsia="Times New Roman" w:hAnsi="Garamond" w:cs="Times New Roman"/>
          <w:i/>
        </w:rPr>
        <w:t>Am J Health Syst Pharm</w:t>
      </w:r>
      <w:r w:rsidRPr="00F34C5F">
        <w:rPr>
          <w:rFonts w:ascii="Garamond" w:eastAsia="Times New Roman" w:hAnsi="Garamond" w:cs="Times New Roman"/>
        </w:rPr>
        <w:t>. 2019;76(24):2070-2076. doi:10.1093/ajhp/zxz250</w:t>
      </w:r>
    </w:p>
    <w:p w:rsidR="00CB2069" w:rsidRPr="00F34C5F" w:rsidRDefault="00CB2069" w:rsidP="00CB2069">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DeAngelis JT, Wolcott MD. A job analysis to define the role of the pharmacy preceptor. </w:t>
      </w:r>
      <w:r w:rsidRPr="00F34C5F">
        <w:rPr>
          <w:rFonts w:ascii="Garamond" w:eastAsia="Times New Roman" w:hAnsi="Garamond" w:cs="Times New Roman"/>
          <w:i/>
        </w:rPr>
        <w:t>Am J Pharm Educ</w:t>
      </w:r>
      <w:r w:rsidRPr="00F34C5F">
        <w:rPr>
          <w:rFonts w:ascii="Garamond" w:eastAsia="Times New Roman" w:hAnsi="Garamond" w:cs="Times New Roman"/>
        </w:rPr>
        <w:t>. 2019;83(7):7196. doi:10.5688/ajpe7196</w:t>
      </w:r>
    </w:p>
    <w:p w:rsidR="00CB2069" w:rsidRPr="00F34C5F" w:rsidRDefault="00CB2069" w:rsidP="00CB2069">
      <w:pPr>
        <w:pStyle w:val="ListParagraph"/>
        <w:numPr>
          <w:ilvl w:val="0"/>
          <w:numId w:val="16"/>
        </w:numPr>
        <w:rPr>
          <w:rFonts w:ascii="Garamond" w:hAnsi="Garamond"/>
        </w:rPr>
      </w:pPr>
      <w:r w:rsidRPr="00F34C5F">
        <w:rPr>
          <w:rFonts w:ascii="Garamond" w:hAnsi="Garamond"/>
        </w:rPr>
        <w:fldChar w:fldCharType="end"/>
      </w:r>
      <w:r w:rsidRPr="00F34C5F">
        <w:rPr>
          <w:rFonts w:ascii="Garamond" w:hAnsi="Garamond"/>
        </w:rPr>
        <w:t xml:space="preserve">Olsen AA. Strategies to effectively implement self-assessment techniques. </w:t>
      </w:r>
      <w:r w:rsidRPr="00F34C5F">
        <w:rPr>
          <w:rFonts w:ascii="Garamond" w:hAnsi="Garamond"/>
          <w:i/>
        </w:rPr>
        <w:t>Curr Pharm Teach Learn</w:t>
      </w:r>
      <w:r w:rsidRPr="00F34C5F">
        <w:rPr>
          <w:rFonts w:ascii="Garamond" w:hAnsi="Garamond"/>
        </w:rPr>
        <w:t>. 2019; 11(6):635-637. DOI:10.1016/j.cptl.2019.02.029</w:t>
      </w:r>
    </w:p>
    <w:p w:rsidR="006D55C3" w:rsidRDefault="006D55C3" w:rsidP="00AC11F4">
      <w:pPr>
        <w:tabs>
          <w:tab w:val="left" w:pos="360"/>
        </w:tabs>
        <w:spacing w:after="0" w:line="240" w:lineRule="auto"/>
        <w:jc w:val="both"/>
        <w:rPr>
          <w:rFonts w:ascii="Garamond" w:eastAsia="Times New Roman" w:hAnsi="Garamond" w:cs="Times New Roman"/>
          <w:b/>
        </w:rPr>
      </w:pPr>
      <w:bookmarkStart w:id="0" w:name="_GoBack"/>
      <w:bookmarkEnd w:id="0"/>
    </w:p>
    <w:p w:rsidR="006D55C3" w:rsidRDefault="0006166A" w:rsidP="006D55C3">
      <w:pPr>
        <w:tabs>
          <w:tab w:val="left" w:pos="360"/>
        </w:tabs>
        <w:spacing w:after="0" w:line="240" w:lineRule="auto"/>
        <w:jc w:val="both"/>
        <w:rPr>
          <w:rFonts w:ascii="Garamond" w:eastAsia="Times New Roman" w:hAnsi="Garamond" w:cs="Times New Roman"/>
          <w:b/>
        </w:rPr>
      </w:pPr>
      <w:r>
        <w:rPr>
          <w:rFonts w:ascii="Garamond" w:eastAsia="Times New Roman" w:hAnsi="Garamond" w:cs="Times New Roman"/>
          <w:b/>
        </w:rPr>
        <w:t>2018 (3</w:t>
      </w:r>
      <w:r w:rsidR="00C75A8F">
        <w:rPr>
          <w:rFonts w:ascii="Garamond" w:eastAsia="Times New Roman" w:hAnsi="Garamond" w:cs="Times New Roman"/>
          <w:b/>
        </w:rPr>
        <w:t>6</w:t>
      </w:r>
      <w:r w:rsidR="006D55C3">
        <w:rPr>
          <w:rFonts w:ascii="Garamond" w:eastAsia="Times New Roman" w:hAnsi="Garamond" w:cs="Times New Roman"/>
          <w:b/>
        </w:rPr>
        <w:t xml:space="preserve"> publications):</w:t>
      </w:r>
    </w:p>
    <w:p w:rsidR="0006166A" w:rsidRPr="0006166A" w:rsidRDefault="0006166A" w:rsidP="0006166A">
      <w:pPr>
        <w:pStyle w:val="ListParagraph"/>
        <w:numPr>
          <w:ilvl w:val="0"/>
          <w:numId w:val="14"/>
        </w:numPr>
        <w:tabs>
          <w:tab w:val="left" w:pos="360"/>
        </w:tabs>
        <w:spacing w:after="0" w:line="240" w:lineRule="auto"/>
        <w:jc w:val="both"/>
        <w:rPr>
          <w:rFonts w:ascii="Garamond" w:eastAsia="Times New Roman" w:hAnsi="Garamond" w:cs="Times New Roman"/>
          <w:bCs/>
        </w:rPr>
      </w:pPr>
      <w:r w:rsidRPr="0006166A">
        <w:rPr>
          <w:rFonts w:ascii="Garamond" w:eastAsia="Times New Roman" w:hAnsi="Garamond" w:cs="Times New Roman"/>
        </w:rPr>
        <w:t>Harris SC, Yates D, Patel M, Patel K. Student engagement and perceptions of stigmatizing views in a mental health-focused collegiate organization. Ment Health Clin. 2018;7(5):187-93.</w:t>
      </w:r>
    </w:p>
    <w:p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Tester CS, </w:t>
      </w:r>
      <w:r w:rsidRPr="006D55C3">
        <w:rPr>
          <w:rFonts w:ascii="Garamond" w:eastAsia="Times New Roman" w:hAnsi="Garamond" w:cs="Times New Roman"/>
          <w:bCs/>
        </w:rPr>
        <w:t>Wolcott MD</w:t>
      </w:r>
      <w:r w:rsidRPr="006D55C3">
        <w:rPr>
          <w:rFonts w:ascii="Garamond" w:eastAsia="Times New Roman" w:hAnsi="Garamond" w:cs="Times New Roman"/>
        </w:rPr>
        <w:t xml:space="preserve">. Describing education management and perceptions in health-system pharmacy. </w:t>
      </w:r>
      <w:r w:rsidRPr="006D55C3">
        <w:rPr>
          <w:rFonts w:ascii="Garamond" w:eastAsia="Times New Roman" w:hAnsi="Garamond" w:cs="Times New Roman"/>
          <w:i/>
          <w:iCs/>
        </w:rPr>
        <w:t>Journal of American College of Clinical Pharmacy</w:t>
      </w:r>
      <w:r w:rsidRPr="006D55C3">
        <w:rPr>
          <w:rFonts w:ascii="Garamond" w:eastAsia="Times New Roman" w:hAnsi="Garamond" w:cs="Times New Roman"/>
        </w:rPr>
        <w:t>. 2018 (in press). doi: 10.1002/jac5.1045.</w:t>
      </w:r>
    </w:p>
    <w:p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DeAngelis JT, </w:t>
      </w:r>
      <w:r w:rsidRPr="006D55C3">
        <w:rPr>
          <w:rFonts w:ascii="Garamond" w:eastAsia="Times New Roman" w:hAnsi="Garamond" w:cs="Times New Roman"/>
          <w:bCs/>
        </w:rPr>
        <w:t>Wolcott MD</w:t>
      </w:r>
      <w:r w:rsidRPr="006D55C3">
        <w:rPr>
          <w:rFonts w:ascii="Garamond" w:eastAsia="Times New Roman" w:hAnsi="Garamond" w:cs="Times New Roman"/>
        </w:rPr>
        <w:t xml:space="preserve">. Defining preceptorship: A job analysis to describe the role of the pharmacy preceptor. </w:t>
      </w:r>
      <w:r w:rsidRPr="006D55C3">
        <w:rPr>
          <w:rFonts w:ascii="Garamond" w:eastAsia="Times New Roman" w:hAnsi="Garamond" w:cs="Times New Roman"/>
          <w:i/>
          <w:iCs/>
        </w:rPr>
        <w:t xml:space="preserve">Am J Pharm Educ. </w:t>
      </w:r>
      <w:r w:rsidRPr="006D55C3">
        <w:rPr>
          <w:rFonts w:ascii="Garamond" w:eastAsia="Times New Roman" w:hAnsi="Garamond" w:cs="Times New Roman"/>
        </w:rPr>
        <w:t xml:space="preserve"> 2018 (in press). doi:10.5688/ajpe7196. </w:t>
      </w:r>
    </w:p>
    <w:p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Jih JS, </w:t>
      </w:r>
      <w:r w:rsidRPr="006D55C3">
        <w:rPr>
          <w:rFonts w:ascii="Garamond" w:eastAsia="Times New Roman" w:hAnsi="Garamond" w:cs="Times New Roman"/>
          <w:bCs/>
        </w:rPr>
        <w:t>Shrewsbury RP</w:t>
      </w:r>
      <w:r w:rsidRPr="006D55C3">
        <w:rPr>
          <w:rFonts w:ascii="Garamond" w:eastAsia="Times New Roman" w:hAnsi="Garamond" w:cs="Times New Roman"/>
        </w:rPr>
        <w:t xml:space="preserve">. Student Self-Analysis of Their Nonsterile Preparations and its Effect on Compounding Confidence. </w:t>
      </w:r>
      <w:r w:rsidRPr="006D55C3">
        <w:rPr>
          <w:rFonts w:ascii="Garamond" w:eastAsia="Times New Roman" w:hAnsi="Garamond" w:cs="Times New Roman"/>
          <w:i/>
          <w:iCs/>
        </w:rPr>
        <w:t>Am J Pharm Educ.</w:t>
      </w:r>
      <w:r w:rsidRPr="006D55C3">
        <w:rPr>
          <w:rFonts w:ascii="Garamond" w:eastAsia="Times New Roman" w:hAnsi="Garamond" w:cs="Times New Roman"/>
        </w:rPr>
        <w:t xml:space="preserve"> 2018;82(10):6473. doi: 10.5688/ajpe6473.</w:t>
      </w:r>
    </w:p>
    <w:p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Yoo KY, Shrewsbury RP. Effect of Course Structure on the Accuracy of Nonsterile Compounded Preparations. Am J Pharm Educ. 2018;82(9):6463. doi: 10.5688/ajpe6463.</w:t>
      </w:r>
    </w:p>
    <w:p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Law MG, Maposa P, Chambula E, Steeb DR, Eckel SF, Duncan G. Knowledge, attitudes and practice of final-year student pharmacists in public health in Namibia, Zambia and Zimbabwe: an exploratory survey. </w:t>
      </w:r>
      <w:r w:rsidRPr="006D55C3">
        <w:rPr>
          <w:rFonts w:ascii="Garamond" w:eastAsia="Times New Roman" w:hAnsi="Garamond" w:cs="Times New Roman"/>
          <w:i/>
          <w:iCs/>
        </w:rPr>
        <w:t>Int J Pharm Pract</w:t>
      </w:r>
      <w:r w:rsidRPr="006D55C3">
        <w:rPr>
          <w:rFonts w:ascii="Garamond" w:eastAsia="Times New Roman" w:hAnsi="Garamond" w:cs="Times New Roman"/>
        </w:rPr>
        <w:t>. 2018;27(1):55-62. doi:10.1111/ijpp.12460.</w:t>
      </w:r>
    </w:p>
    <w:p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Bush AA, </w:t>
      </w:r>
      <w:r w:rsidRPr="006D55C3">
        <w:rPr>
          <w:rFonts w:ascii="Garamond" w:eastAsia="Times New Roman" w:hAnsi="Garamond" w:cs="Times New Roman"/>
          <w:bCs/>
        </w:rPr>
        <w:t>Mclaughlin JE</w:t>
      </w:r>
      <w:r w:rsidRPr="006D55C3">
        <w:rPr>
          <w:rFonts w:ascii="Garamond" w:eastAsia="Times New Roman" w:hAnsi="Garamond" w:cs="Times New Roman"/>
        </w:rPr>
        <w:t xml:space="preserve">, White C. Response to Critical Race Theory for Pharmacy Diversity Curriculum. </w:t>
      </w:r>
      <w:r w:rsidRPr="006D55C3">
        <w:rPr>
          <w:rFonts w:ascii="Garamond" w:eastAsia="Times New Roman" w:hAnsi="Garamond" w:cs="Times New Roman"/>
          <w:i/>
          <w:iCs/>
        </w:rPr>
        <w:t>Am J Pharm Educ.</w:t>
      </w:r>
      <w:r w:rsidRPr="006D55C3">
        <w:rPr>
          <w:rFonts w:ascii="Garamond" w:eastAsia="Times New Roman" w:hAnsi="Garamond" w:cs="Times New Roman"/>
        </w:rPr>
        <w:t xml:space="preserve"> 2018;82(2):6984. doi:10.5688/ajpe6984.</w:t>
      </w:r>
    </w:p>
    <w:p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Higgins J, Britt F, Hanson S, Davidson M, Steinbacher D, White CY. The Impact of an Interactive Mentoring Organization Model on Advancing Diversity. </w:t>
      </w:r>
      <w:r w:rsidRPr="006D55C3">
        <w:rPr>
          <w:rFonts w:ascii="Garamond" w:eastAsia="Times New Roman" w:hAnsi="Garamond" w:cs="Times New Roman"/>
          <w:i/>
          <w:iCs/>
        </w:rPr>
        <w:t>J Best Pract Health Prof Divers.</w:t>
      </w:r>
      <w:r w:rsidRPr="006D55C3">
        <w:rPr>
          <w:rFonts w:ascii="Garamond" w:eastAsia="Times New Roman" w:hAnsi="Garamond" w:cs="Times New Roman"/>
        </w:rPr>
        <w:t xml:space="preserve"> 2018; 11(2), 158–160.</w:t>
      </w:r>
    </w:p>
    <w:p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Bellottie GD, Kirwin J, Allen RA, Anksorus HN, Bartelme KM, Bottenberg MM, Dula CC, Kane TH, Lee PH, McMillan A, Riley BL, Waghel R. Suggested pharmacy practice laboratory activities to align with pre-APPE domains in the Doctor of Pharmacy curriculum. </w:t>
      </w:r>
      <w:r w:rsidRPr="006D55C3">
        <w:rPr>
          <w:rFonts w:ascii="Garamond" w:eastAsia="Times New Roman" w:hAnsi="Garamond" w:cs="Times New Roman"/>
          <w:i/>
          <w:iCs/>
        </w:rPr>
        <w:t xml:space="preserve">Curr Pharm Teach Learn. </w:t>
      </w:r>
      <w:r w:rsidRPr="006D55C3">
        <w:rPr>
          <w:rFonts w:ascii="Garamond" w:eastAsia="Times New Roman" w:hAnsi="Garamond" w:cs="Times New Roman"/>
        </w:rPr>
        <w:t>2018;10(9):1303-1320. doi:10.1016/j.cptl.2018.06.001.</w:t>
      </w:r>
    </w:p>
    <w:p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bCs/>
        </w:rPr>
        <w:t>Zeeman JM,</w:t>
      </w:r>
      <w:r w:rsidRPr="006D55C3">
        <w:rPr>
          <w:rFonts w:ascii="Garamond" w:eastAsia="Times New Roman" w:hAnsi="Garamond" w:cs="Times New Roman"/>
        </w:rPr>
        <w:t xml:space="preserve"> Wingo BL, Cox WC. Design and evaluation of a two-phase learner-centered new student orientation program. </w:t>
      </w:r>
      <w:r w:rsidRPr="006D55C3">
        <w:rPr>
          <w:rFonts w:ascii="Garamond" w:eastAsia="Times New Roman" w:hAnsi="Garamond" w:cs="Times New Roman"/>
          <w:i/>
          <w:iCs/>
        </w:rPr>
        <w:t>Curr Pharm Teach Learn</w:t>
      </w:r>
      <w:r w:rsidRPr="006D55C3">
        <w:rPr>
          <w:rFonts w:ascii="Garamond" w:eastAsia="Times New Roman" w:hAnsi="Garamond" w:cs="Times New Roman"/>
        </w:rPr>
        <w:t xml:space="preserve">. 2018;10(4):486-492. doi: 10.1016/j.cptl.2017.12.020. Epub 2018 Jan 10. </w:t>
      </w:r>
    </w:p>
    <w:p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bCs/>
        </w:rPr>
        <w:t>Wolcott MD, Zeeman JM,</w:t>
      </w:r>
      <w:r w:rsidRPr="006D55C3">
        <w:rPr>
          <w:rFonts w:ascii="Garamond" w:eastAsia="Times New Roman" w:hAnsi="Garamond" w:cs="Times New Roman"/>
        </w:rPr>
        <w:t xml:space="preserve"> Cox WC, </w:t>
      </w:r>
      <w:r w:rsidRPr="006D55C3">
        <w:rPr>
          <w:rFonts w:ascii="Garamond" w:eastAsia="Times New Roman" w:hAnsi="Garamond" w:cs="Times New Roman"/>
          <w:bCs/>
        </w:rPr>
        <w:t>McLaughlin JE</w:t>
      </w:r>
      <w:r w:rsidRPr="006D55C3">
        <w:rPr>
          <w:rFonts w:ascii="Garamond" w:eastAsia="Times New Roman" w:hAnsi="Garamond" w:cs="Times New Roman"/>
        </w:rPr>
        <w:t xml:space="preserve">. Using the multiple mini interview as an assessment strategy within the first year of a health professions curriculum. </w:t>
      </w:r>
      <w:r w:rsidRPr="006D55C3">
        <w:rPr>
          <w:rFonts w:ascii="Garamond" w:eastAsia="Times New Roman" w:hAnsi="Garamond" w:cs="Times New Roman"/>
          <w:i/>
          <w:iCs/>
        </w:rPr>
        <w:t>BMC Med Educ</w:t>
      </w:r>
      <w:r w:rsidRPr="006D55C3">
        <w:rPr>
          <w:rFonts w:ascii="Garamond" w:eastAsia="Times New Roman" w:hAnsi="Garamond" w:cs="Times New Roman"/>
        </w:rPr>
        <w:t>. 2018;18(1):92. doi: 10.1186/s12909-018-1203-5.</w:t>
      </w:r>
    </w:p>
    <w:p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Shepherd G. Experience with implementing pyramid examinations in an elective pharmacy course. </w:t>
      </w:r>
      <w:r w:rsidRPr="006D55C3">
        <w:rPr>
          <w:rFonts w:ascii="Garamond" w:eastAsia="Times New Roman" w:hAnsi="Garamond" w:cs="Times New Roman"/>
          <w:i/>
          <w:iCs/>
        </w:rPr>
        <w:t xml:space="preserve">Curr Pharm Teach Learn. </w:t>
      </w:r>
      <w:r w:rsidRPr="006D55C3">
        <w:rPr>
          <w:rFonts w:ascii="Garamond" w:eastAsia="Times New Roman" w:hAnsi="Garamond" w:cs="Times New Roman"/>
        </w:rPr>
        <w:t>2018;10(12):1631-1635. doi:10.1016/j.cptl.2018.09.003.</w:t>
      </w:r>
    </w:p>
    <w:p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Grice GR, Thomason AR, Meny LM, </w:t>
      </w:r>
      <w:r w:rsidRPr="006D55C3">
        <w:rPr>
          <w:rFonts w:ascii="Garamond" w:eastAsia="Times New Roman" w:hAnsi="Garamond" w:cs="Times New Roman"/>
          <w:bCs/>
        </w:rPr>
        <w:t>Pinelli NR</w:t>
      </w:r>
      <w:r w:rsidRPr="006D55C3">
        <w:rPr>
          <w:rFonts w:ascii="Garamond" w:eastAsia="Times New Roman" w:hAnsi="Garamond" w:cs="Times New Roman"/>
        </w:rPr>
        <w:t xml:space="preserve">, Martello JL, Zorek JA. Intentional interprofessional experiential education. </w:t>
      </w:r>
      <w:r w:rsidRPr="006D55C3">
        <w:rPr>
          <w:rFonts w:ascii="Garamond" w:eastAsia="Times New Roman" w:hAnsi="Garamond" w:cs="Times New Roman"/>
          <w:i/>
          <w:iCs/>
        </w:rPr>
        <w:t>Am J Pharm Educ</w:t>
      </w:r>
      <w:r w:rsidRPr="006D55C3">
        <w:rPr>
          <w:rFonts w:ascii="Garamond" w:eastAsia="Times New Roman" w:hAnsi="Garamond" w:cs="Times New Roman"/>
        </w:rPr>
        <w:t>. 2018;82(3):6502. DOI: 10.5688/ajpe6502.</w:t>
      </w:r>
    </w:p>
    <w:p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bCs/>
        </w:rPr>
        <w:t>Pinelli NR</w:t>
      </w:r>
      <w:r w:rsidRPr="006D55C3">
        <w:rPr>
          <w:rFonts w:ascii="Garamond" w:eastAsia="Times New Roman" w:hAnsi="Garamond" w:cs="Times New Roman"/>
        </w:rPr>
        <w:t>, Sease JM, Nola K, Kyle JA, Heldenbrand SD, Penzak SR, Ginsburg DB. The importance of authentic leadership to all generations represented within academic pharmacy.</w:t>
      </w:r>
      <w:r w:rsidRPr="006D55C3">
        <w:rPr>
          <w:rFonts w:ascii="Garamond" w:eastAsia="Times New Roman" w:hAnsi="Garamond" w:cs="Times New Roman"/>
          <w:i/>
          <w:iCs/>
        </w:rPr>
        <w:t xml:space="preserve"> Am J Pharm Educ</w:t>
      </w:r>
      <w:r w:rsidRPr="006D55C3">
        <w:rPr>
          <w:rFonts w:ascii="Garamond" w:eastAsia="Times New Roman" w:hAnsi="Garamond" w:cs="Times New Roman"/>
        </w:rPr>
        <w:t>. 2018;82(6):6694. DOI: 10.5688/ajpe6694.</w:t>
      </w:r>
    </w:p>
    <w:p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Zomorodi M, Odom T, Askew NC, Leonard CR, Sanders KA, Thompson D. Hotspotting: development of an interprofessional education and service learning program for care management in home care patients. </w:t>
      </w:r>
      <w:r w:rsidRPr="006D55C3">
        <w:rPr>
          <w:rFonts w:ascii="Garamond" w:eastAsia="Times New Roman" w:hAnsi="Garamond" w:cs="Times New Roman"/>
          <w:i/>
          <w:iCs/>
        </w:rPr>
        <w:t>Nurse Educ.</w:t>
      </w:r>
      <w:r w:rsidRPr="006D55C3">
        <w:rPr>
          <w:rFonts w:ascii="Garamond" w:eastAsia="Times New Roman" w:hAnsi="Garamond" w:cs="Times New Roman"/>
        </w:rPr>
        <w:t xml:space="preserve"> 2018;43(5):247-50. DOI: 10.1097/NNE.0000000000000523.</w:t>
      </w:r>
    </w:p>
    <w:p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Sanders KA, </w:t>
      </w:r>
      <w:r w:rsidRPr="006D55C3">
        <w:rPr>
          <w:rFonts w:ascii="Garamond" w:eastAsia="Times New Roman" w:hAnsi="Garamond" w:cs="Times New Roman"/>
          <w:bCs/>
        </w:rPr>
        <w:t>McLaughlin JE</w:t>
      </w:r>
      <w:r w:rsidRPr="006D55C3">
        <w:rPr>
          <w:rFonts w:ascii="Garamond" w:eastAsia="Times New Roman" w:hAnsi="Garamond" w:cs="Times New Roman"/>
        </w:rPr>
        <w:t xml:space="preserve">, Waldron KM, Willoughby I, Pinelli NR. Educational outcomes associated with early immersion of second-year student pharmacists into direct patient care roles in health-system practice. </w:t>
      </w:r>
      <w:r w:rsidRPr="006D55C3">
        <w:rPr>
          <w:rFonts w:ascii="Garamond" w:eastAsia="Times New Roman" w:hAnsi="Garamond" w:cs="Times New Roman"/>
          <w:i/>
          <w:iCs/>
        </w:rPr>
        <w:t>Curr Pharm Teach Learn.</w:t>
      </w:r>
      <w:r w:rsidRPr="006D55C3">
        <w:rPr>
          <w:rFonts w:ascii="Garamond" w:eastAsia="Times New Roman" w:hAnsi="Garamond" w:cs="Times New Roman"/>
        </w:rPr>
        <w:t xml:space="preserve"> 2018 1;10(2):211-9. DOI: 10.1016/j.cptl.2017.10.009.</w:t>
      </w:r>
    </w:p>
    <w:p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bCs/>
        </w:rPr>
        <w:t>Greene JM,</w:t>
      </w:r>
      <w:r w:rsidRPr="006D55C3">
        <w:rPr>
          <w:rFonts w:ascii="Garamond" w:eastAsia="Times New Roman" w:hAnsi="Garamond" w:cs="Times New Roman"/>
        </w:rPr>
        <w:t xml:space="preserve"> Fuller KA, </w:t>
      </w:r>
      <w:r w:rsidRPr="006D55C3">
        <w:rPr>
          <w:rFonts w:ascii="Garamond" w:eastAsia="Times New Roman" w:hAnsi="Garamond" w:cs="Times New Roman"/>
          <w:bCs/>
        </w:rPr>
        <w:t>Persky AM</w:t>
      </w:r>
      <w:r w:rsidRPr="006D55C3">
        <w:rPr>
          <w:rFonts w:ascii="Garamond" w:eastAsia="Times New Roman" w:hAnsi="Garamond" w:cs="Times New Roman"/>
        </w:rPr>
        <w:t xml:space="preserve">. Practical Tips for Integrating Clinical Relevance into Foundational Science Courses. </w:t>
      </w:r>
      <w:r w:rsidRPr="006D55C3">
        <w:rPr>
          <w:rFonts w:ascii="Garamond" w:eastAsia="Times New Roman" w:hAnsi="Garamond" w:cs="Times New Roman"/>
          <w:i/>
          <w:iCs/>
        </w:rPr>
        <w:t>Am J Pharm Educ</w:t>
      </w:r>
      <w:r w:rsidRPr="006D55C3">
        <w:rPr>
          <w:rFonts w:ascii="Garamond" w:eastAsia="Times New Roman" w:hAnsi="Garamond" w:cs="Times New Roman"/>
        </w:rPr>
        <w:t>. 2018;82(5):6603. DOI: 10.5688/ajpe6603.</w:t>
      </w:r>
    </w:p>
    <w:p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bCs/>
        </w:rPr>
        <w:t>Pinelli NR</w:t>
      </w:r>
      <w:r w:rsidRPr="006D55C3">
        <w:rPr>
          <w:rFonts w:ascii="Garamond" w:eastAsia="Times New Roman" w:hAnsi="Garamond" w:cs="Times New Roman"/>
        </w:rPr>
        <w:t xml:space="preserve">, McLaughlin JE, Khanova J, Eckel SF, Vu MB, Weinberger M, Roth MT. Identifying the presence of cognitive apprenticeship in the layered learning practice model. </w:t>
      </w:r>
      <w:r w:rsidRPr="006D55C3">
        <w:rPr>
          <w:rFonts w:ascii="Garamond" w:eastAsia="Times New Roman" w:hAnsi="Garamond" w:cs="Times New Roman"/>
          <w:i/>
          <w:iCs/>
        </w:rPr>
        <w:t>Am J Pharm Educ</w:t>
      </w:r>
      <w:r w:rsidRPr="006D55C3">
        <w:rPr>
          <w:rFonts w:ascii="Garamond" w:eastAsia="Times New Roman" w:hAnsi="Garamond" w:cs="Times New Roman"/>
        </w:rPr>
        <w:t>. 2018;82(1):6155. DOI: 10.5688/ajpe6155.</w:t>
      </w:r>
    </w:p>
    <w:p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Murphy SL, Samuels EM, Kolb HR, Behar-Horenstein LS, Champagne E, Byks-Jazayeri C, Hahn J, Roth MT, Ennever F, Bajwa W, Singh M. Best practices in social and behavioral research: A multisite pilot evaluation of the good clinical practice online training course. </w:t>
      </w:r>
      <w:r w:rsidRPr="006D55C3">
        <w:rPr>
          <w:rFonts w:ascii="Garamond" w:eastAsia="Times New Roman" w:hAnsi="Garamond" w:cs="Times New Roman"/>
          <w:i/>
          <w:iCs/>
        </w:rPr>
        <w:t>J Clin Transl Sci</w:t>
      </w:r>
      <w:r w:rsidRPr="006D55C3">
        <w:rPr>
          <w:rFonts w:ascii="Garamond" w:eastAsia="Times New Roman" w:hAnsi="Garamond" w:cs="Times New Roman"/>
        </w:rPr>
        <w:t>. 2018;2(2):95-102. DOI:10.1017/cts.2018.27.</w:t>
      </w:r>
    </w:p>
    <w:p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Murphy SL, Samuels EM, Byks-Jazayeri C, Champagne E, Hahn J, Eakin B, Kolb R, Behar-Horenstein LS, Gardner S, Ennever F, Roth MT. 2526 E-learning for best practices in social and behavioral research: A multisite pilot evaluation. </w:t>
      </w:r>
      <w:r w:rsidRPr="006D55C3">
        <w:rPr>
          <w:rFonts w:ascii="Garamond" w:eastAsia="Times New Roman" w:hAnsi="Garamond" w:cs="Times New Roman"/>
          <w:i/>
          <w:iCs/>
        </w:rPr>
        <w:t>J Clin Transl Sci</w:t>
      </w:r>
      <w:r w:rsidRPr="006D55C3">
        <w:rPr>
          <w:rFonts w:ascii="Garamond" w:eastAsia="Times New Roman" w:hAnsi="Garamond" w:cs="Times New Roman"/>
        </w:rPr>
        <w:t>. 2018;2(S1):55. DOI: 10.1017/cts.2018.206.</w:t>
      </w:r>
    </w:p>
    <w:p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Vos Chair SS, Brown MM, Cardello EA, Dintzner MR, MacKinnon III GE, Maroyka EM, Mbi P, Park SK, Weaver KK, </w:t>
      </w:r>
      <w:r w:rsidRPr="006D55C3">
        <w:rPr>
          <w:rFonts w:ascii="Garamond" w:eastAsia="Times New Roman" w:hAnsi="Garamond" w:cs="Times New Roman"/>
          <w:bCs/>
        </w:rPr>
        <w:t>Zeeman JM</w:t>
      </w:r>
      <w:r w:rsidRPr="006D55C3">
        <w:rPr>
          <w:rFonts w:ascii="Garamond" w:eastAsia="Times New Roman" w:hAnsi="Garamond" w:cs="Times New Roman"/>
        </w:rPr>
        <w:t xml:space="preserve">, Bradley-Baker LR. The Report of the 2017-2018 Professional Affairs Standing Committee: The Development of the Preceptor Self-Assessment Tool for Entrustable Professional Activities for New Graduates. </w:t>
      </w:r>
      <w:r w:rsidRPr="006D55C3">
        <w:rPr>
          <w:rFonts w:ascii="Garamond" w:eastAsia="Times New Roman" w:hAnsi="Garamond" w:cs="Times New Roman"/>
          <w:i/>
          <w:iCs/>
        </w:rPr>
        <w:t>Am J Pharm Educ</w:t>
      </w:r>
      <w:r w:rsidRPr="006D55C3">
        <w:rPr>
          <w:rFonts w:ascii="Garamond" w:eastAsia="Times New Roman" w:hAnsi="Garamond" w:cs="Times New Roman"/>
        </w:rPr>
        <w:t>. 2018;82(7):7162. DOI: 10.5688/ajpe7162.</w:t>
      </w:r>
    </w:p>
    <w:p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bCs/>
        </w:rPr>
        <w:t>Williams CR</w:t>
      </w:r>
      <w:r w:rsidRPr="006D55C3">
        <w:rPr>
          <w:rFonts w:ascii="Garamond" w:eastAsia="Times New Roman" w:hAnsi="Garamond" w:cs="Times New Roman"/>
        </w:rPr>
        <w:t xml:space="preserve">, Abbott K, Hughes M, Wilson CG, Scott MA. Development of pharmacy resident leadership skills through creation of a regional ambulatory care forum. </w:t>
      </w:r>
      <w:bookmarkStart w:id="1" w:name="_Hlk21341307"/>
      <w:r w:rsidRPr="006D55C3">
        <w:rPr>
          <w:rFonts w:ascii="Garamond" w:eastAsia="Times New Roman" w:hAnsi="Garamond" w:cs="Times New Roman"/>
          <w:i/>
          <w:iCs/>
        </w:rPr>
        <w:t>Curr Pharm Teach Learn.</w:t>
      </w:r>
      <w:r w:rsidRPr="006D55C3">
        <w:rPr>
          <w:rFonts w:ascii="Garamond" w:eastAsia="Times New Roman" w:hAnsi="Garamond" w:cs="Times New Roman"/>
        </w:rPr>
        <w:t xml:space="preserve"> </w:t>
      </w:r>
      <w:bookmarkEnd w:id="1"/>
      <w:r w:rsidRPr="006D55C3">
        <w:rPr>
          <w:rFonts w:ascii="Garamond" w:eastAsia="Times New Roman" w:hAnsi="Garamond" w:cs="Times New Roman"/>
        </w:rPr>
        <w:t>2018;10(12):1641-6. DOI: 10.1016/j.cptl.2018.09.006.</w:t>
      </w:r>
    </w:p>
    <w:p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bCs/>
        </w:rPr>
        <w:t>Williams CR, McLaughlin J</w:t>
      </w:r>
      <w:r w:rsidRPr="006D55C3">
        <w:rPr>
          <w:rFonts w:ascii="Garamond" w:eastAsia="Times New Roman" w:hAnsi="Garamond" w:cs="Times New Roman"/>
        </w:rPr>
        <w:t xml:space="preserve">, Leadon K, Khanova J, Rodgers PT. Preceptor confidence and engagement in providing leadership activities to students in advanced pharmacy practice experiences. </w:t>
      </w:r>
      <w:r w:rsidRPr="006D55C3">
        <w:rPr>
          <w:rFonts w:ascii="Garamond" w:eastAsia="Times New Roman" w:hAnsi="Garamond" w:cs="Times New Roman"/>
          <w:i/>
          <w:iCs/>
        </w:rPr>
        <w:t>Curr Pharm Teach Learn.</w:t>
      </w:r>
      <w:r w:rsidRPr="006D55C3">
        <w:rPr>
          <w:rFonts w:ascii="Garamond" w:eastAsia="Times New Roman" w:hAnsi="Garamond" w:cs="Times New Roman"/>
        </w:rPr>
        <w:t xml:space="preserve"> 2018;10(7):895-902. DOI: 10.1016/j.cptl.2018.04.006.</w:t>
      </w:r>
    </w:p>
    <w:p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Michalets EL, </w:t>
      </w:r>
      <w:r w:rsidRPr="006D55C3">
        <w:rPr>
          <w:rFonts w:ascii="Garamond" w:eastAsia="Times New Roman" w:hAnsi="Garamond" w:cs="Times New Roman"/>
          <w:bCs/>
        </w:rPr>
        <w:t>Williams C</w:t>
      </w:r>
      <w:r w:rsidRPr="006D55C3">
        <w:rPr>
          <w:rFonts w:ascii="Garamond" w:eastAsia="Times New Roman" w:hAnsi="Garamond" w:cs="Times New Roman"/>
        </w:rPr>
        <w:t xml:space="preserve">, Park I. Ten year experience with student pharmacist research within a health system and education center. </w:t>
      </w:r>
      <w:r w:rsidRPr="006D55C3">
        <w:rPr>
          <w:rFonts w:ascii="Garamond" w:eastAsia="Times New Roman" w:hAnsi="Garamond" w:cs="Times New Roman"/>
          <w:i/>
          <w:iCs/>
        </w:rPr>
        <w:t>Curr Pharm Teach Learn</w:t>
      </w:r>
      <w:r w:rsidRPr="006D55C3">
        <w:rPr>
          <w:rFonts w:ascii="Garamond" w:eastAsia="Times New Roman" w:hAnsi="Garamond" w:cs="Times New Roman"/>
        </w:rPr>
        <w:t>. 2018;10(3):316-24. DOI: 10.1016/j.cptl.2017.11.010.</w:t>
      </w:r>
    </w:p>
    <w:p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bCs/>
        </w:rPr>
        <w:t>Williams CR</w:t>
      </w:r>
      <w:r w:rsidRPr="006D55C3">
        <w:rPr>
          <w:rFonts w:ascii="Garamond" w:eastAsia="Times New Roman" w:hAnsi="Garamond" w:cs="Times New Roman"/>
        </w:rPr>
        <w:t xml:space="preserve">, Woodall T, Wilson CG, Griffin R, Galvin SL, LaVallee LA, Roberts C, Ives TJ. Physician perceptions of integrating advanced practice pharmacists into practice. </w:t>
      </w:r>
      <w:r w:rsidRPr="006D55C3">
        <w:rPr>
          <w:rFonts w:ascii="Garamond" w:eastAsia="Times New Roman" w:hAnsi="Garamond" w:cs="Times New Roman"/>
          <w:i/>
          <w:iCs/>
        </w:rPr>
        <w:t>J Am Pharm Assoc</w:t>
      </w:r>
      <w:r w:rsidRPr="006D55C3">
        <w:rPr>
          <w:rFonts w:ascii="Garamond" w:eastAsia="Times New Roman" w:hAnsi="Garamond" w:cs="Times New Roman"/>
        </w:rPr>
        <w:t>. 2018;58(1):73-8. DOI: 10.1016/j.japh.</w:t>
      </w:r>
    </w:p>
    <w:p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bCs/>
        </w:rPr>
        <w:t>Persky AM.</w:t>
      </w:r>
      <w:r w:rsidRPr="006D55C3">
        <w:rPr>
          <w:rFonts w:ascii="Garamond" w:eastAsia="Times New Roman" w:hAnsi="Garamond" w:cs="Times New Roman"/>
        </w:rPr>
        <w:t xml:space="preserve"> A four year longitudinal study of student learning strategies. </w:t>
      </w:r>
      <w:r w:rsidRPr="006D55C3">
        <w:rPr>
          <w:rFonts w:ascii="Garamond" w:eastAsia="Times New Roman" w:hAnsi="Garamond" w:cs="Times New Roman"/>
          <w:i/>
          <w:iCs/>
        </w:rPr>
        <w:t>Curr Pharm Teach Learn.</w:t>
      </w:r>
      <w:r w:rsidRPr="006D55C3">
        <w:rPr>
          <w:rFonts w:ascii="Garamond" w:eastAsia="Times New Roman" w:hAnsi="Garamond" w:cs="Times New Roman"/>
        </w:rPr>
        <w:t xml:space="preserve"> 2018;10(11):1496-500. DOI: 10.1016/j.cptl.2018.08.012.</w:t>
      </w:r>
    </w:p>
    <w:p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Chu Y, Palmer S, </w:t>
      </w:r>
      <w:r w:rsidRPr="006D55C3">
        <w:rPr>
          <w:rFonts w:ascii="Garamond" w:eastAsia="Times New Roman" w:hAnsi="Garamond" w:cs="Times New Roman"/>
          <w:bCs/>
        </w:rPr>
        <w:t>Persky AM.</w:t>
      </w:r>
      <w:r w:rsidRPr="006D55C3">
        <w:rPr>
          <w:rFonts w:ascii="Garamond" w:eastAsia="Times New Roman" w:hAnsi="Garamond" w:cs="Times New Roman"/>
        </w:rPr>
        <w:t xml:space="preserve"> Assessing metacognition in the classroom: Student help-seeking behavior. </w:t>
      </w:r>
      <w:r w:rsidRPr="006D55C3">
        <w:rPr>
          <w:rFonts w:ascii="Garamond" w:eastAsia="Times New Roman" w:hAnsi="Garamond" w:cs="Times New Roman"/>
          <w:i/>
          <w:iCs/>
        </w:rPr>
        <w:t>Curr Pharm Teach Learn</w:t>
      </w:r>
      <w:r w:rsidRPr="006D55C3">
        <w:rPr>
          <w:rFonts w:ascii="Garamond" w:eastAsia="Times New Roman" w:hAnsi="Garamond" w:cs="Times New Roman"/>
        </w:rPr>
        <w:t>. 2018;10(11):1478-87.</w:t>
      </w:r>
    </w:p>
    <w:p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Castleberry AN, Haines SL, Stein SM, Van Amburgh JA, </w:t>
      </w:r>
      <w:r w:rsidRPr="006D55C3">
        <w:rPr>
          <w:rFonts w:ascii="Garamond" w:eastAsia="Times New Roman" w:hAnsi="Garamond" w:cs="Times New Roman"/>
          <w:bCs/>
        </w:rPr>
        <w:t>Persky AM</w:t>
      </w:r>
      <w:r w:rsidRPr="006D55C3">
        <w:rPr>
          <w:rFonts w:ascii="Garamond" w:eastAsia="Times New Roman" w:hAnsi="Garamond" w:cs="Times New Roman"/>
        </w:rPr>
        <w:t xml:space="preserve">. 5-Minute University: A Description and Discussion of 5-Minute Faculty Teaching Training Videos. </w:t>
      </w:r>
      <w:r w:rsidRPr="006D55C3">
        <w:rPr>
          <w:rFonts w:ascii="Garamond" w:eastAsia="Times New Roman" w:hAnsi="Garamond" w:cs="Times New Roman"/>
          <w:i/>
          <w:iCs/>
        </w:rPr>
        <w:t>The Journal of Faculty Development.</w:t>
      </w:r>
      <w:r w:rsidRPr="006D55C3">
        <w:rPr>
          <w:rFonts w:ascii="Garamond" w:eastAsia="Times New Roman" w:hAnsi="Garamond" w:cs="Times New Roman"/>
        </w:rPr>
        <w:t xml:space="preserve"> 2018;32(2):67-74.</w:t>
      </w:r>
    </w:p>
    <w:p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bCs/>
        </w:rPr>
        <w:t>Persky AM, McLaughlin JE.</w:t>
      </w:r>
      <w:r w:rsidRPr="006D55C3">
        <w:rPr>
          <w:rFonts w:ascii="Garamond" w:eastAsia="Times New Roman" w:hAnsi="Garamond" w:cs="Times New Roman"/>
        </w:rPr>
        <w:t xml:space="preserve"> Troubleshooting the Flipped Classroom in Medical Education: Common Challenges and Lessons Learned. </w:t>
      </w:r>
      <w:r w:rsidRPr="006D55C3">
        <w:rPr>
          <w:rFonts w:ascii="Garamond" w:eastAsia="Times New Roman" w:hAnsi="Garamond" w:cs="Times New Roman"/>
          <w:i/>
          <w:iCs/>
        </w:rPr>
        <w:t>Med Sci Educ.</w:t>
      </w:r>
      <w:r w:rsidRPr="006D55C3">
        <w:rPr>
          <w:rFonts w:ascii="Garamond" w:eastAsia="Times New Roman" w:hAnsi="Garamond" w:cs="Times New Roman"/>
        </w:rPr>
        <w:t xml:space="preserve"> 2018;28(1):235-41. DOI: 10.1007/s40670-017-0505-2.</w:t>
      </w:r>
    </w:p>
    <w:p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Hudson SL, Jarstfer MB, </w:t>
      </w:r>
      <w:r w:rsidRPr="006D55C3">
        <w:rPr>
          <w:rFonts w:ascii="Garamond" w:eastAsia="Times New Roman" w:hAnsi="Garamond" w:cs="Times New Roman"/>
          <w:bCs/>
        </w:rPr>
        <w:t>Persky AM</w:t>
      </w:r>
      <w:r w:rsidRPr="006D55C3">
        <w:rPr>
          <w:rFonts w:ascii="Garamond" w:eastAsia="Times New Roman" w:hAnsi="Garamond" w:cs="Times New Roman"/>
        </w:rPr>
        <w:t xml:space="preserve">. Student Learning with Generated and Answered Peer-written Questions. </w:t>
      </w:r>
      <w:r w:rsidRPr="006D55C3">
        <w:rPr>
          <w:rFonts w:ascii="Garamond" w:eastAsia="Times New Roman" w:hAnsi="Garamond" w:cs="Times New Roman"/>
          <w:i/>
          <w:iCs/>
        </w:rPr>
        <w:t>Am J Pharm Educ.</w:t>
      </w:r>
      <w:r w:rsidRPr="006D55C3">
        <w:rPr>
          <w:rFonts w:ascii="Garamond" w:eastAsia="Times New Roman" w:hAnsi="Garamond" w:cs="Times New Roman"/>
        </w:rPr>
        <w:t xml:space="preserve"> 2018;82(2):6315. doi:10.5688/ajpe6315.</w:t>
      </w:r>
    </w:p>
    <w:p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Terenyi J, Anksorus H, </w:t>
      </w:r>
      <w:r w:rsidRPr="006D55C3">
        <w:rPr>
          <w:rFonts w:ascii="Garamond" w:eastAsia="Times New Roman" w:hAnsi="Garamond" w:cs="Times New Roman"/>
          <w:bCs/>
        </w:rPr>
        <w:t>Persky AM</w:t>
      </w:r>
      <w:r w:rsidRPr="006D55C3">
        <w:rPr>
          <w:rFonts w:ascii="Garamond" w:eastAsia="Times New Roman" w:hAnsi="Garamond" w:cs="Times New Roman"/>
        </w:rPr>
        <w:t xml:space="preserve">. Impact of Spacing of Practice on Learning Brand Name and Generic Drugs. </w:t>
      </w:r>
      <w:r w:rsidRPr="006D55C3">
        <w:rPr>
          <w:rFonts w:ascii="Garamond" w:eastAsia="Times New Roman" w:hAnsi="Garamond" w:cs="Times New Roman"/>
          <w:i/>
        </w:rPr>
        <w:t>Am J Pharm Educ</w:t>
      </w:r>
      <w:r w:rsidRPr="006D55C3">
        <w:rPr>
          <w:rFonts w:ascii="Garamond" w:eastAsia="Times New Roman" w:hAnsi="Garamond" w:cs="Times New Roman"/>
        </w:rPr>
        <w:t>. 2018;82(1):6179. doi:10.5688/ajpe6179.</w:t>
      </w:r>
    </w:p>
    <w:p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Zeeman JM, Kang I, </w:t>
      </w:r>
      <w:r w:rsidRPr="006D55C3">
        <w:rPr>
          <w:rFonts w:ascii="Garamond" w:eastAsia="Times New Roman" w:hAnsi="Garamond" w:cs="Times New Roman"/>
          <w:bCs/>
        </w:rPr>
        <w:t>Angelo TA</w:t>
      </w:r>
      <w:r w:rsidRPr="006D55C3">
        <w:rPr>
          <w:rFonts w:ascii="Garamond" w:eastAsia="Times New Roman" w:hAnsi="Garamond" w:cs="Times New Roman"/>
        </w:rPr>
        <w:t xml:space="preserve">. Assessing student academic time use: Assumptions, predictions and realities. </w:t>
      </w:r>
      <w:r w:rsidRPr="006D55C3">
        <w:rPr>
          <w:rFonts w:ascii="Garamond" w:eastAsia="Times New Roman" w:hAnsi="Garamond" w:cs="Times New Roman"/>
          <w:i/>
          <w:iCs/>
        </w:rPr>
        <w:t>Medical Education</w:t>
      </w:r>
      <w:r w:rsidRPr="006D55C3">
        <w:rPr>
          <w:rFonts w:ascii="Garamond" w:eastAsia="Times New Roman" w:hAnsi="Garamond" w:cs="Times New Roman"/>
        </w:rPr>
        <w:t xml:space="preserve">. 2018. doi: 10.1111/medu.13761. </w:t>
      </w:r>
    </w:p>
    <w:p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bCs/>
        </w:rPr>
        <w:t>Frick A</w:t>
      </w:r>
      <w:r w:rsidRPr="006D55C3">
        <w:rPr>
          <w:rFonts w:ascii="Garamond" w:eastAsia="Times New Roman" w:hAnsi="Garamond" w:cs="Times New Roman"/>
        </w:rPr>
        <w:t xml:space="preserve">, Benton C, Suzuki O, Dong O, Howard R, El-Sabae H, Wiltshire T. Implementing clinical pharmacogenomics in the classroom: Student pharmacist impressions of an educational intervention including personal genotyping. </w:t>
      </w:r>
      <w:r w:rsidRPr="006D55C3">
        <w:rPr>
          <w:rFonts w:ascii="Garamond" w:eastAsia="Times New Roman" w:hAnsi="Garamond" w:cs="Times New Roman"/>
          <w:i/>
          <w:iCs/>
        </w:rPr>
        <w:t>Pharmacy</w:t>
      </w:r>
      <w:r w:rsidRPr="006D55C3">
        <w:rPr>
          <w:rFonts w:ascii="Garamond" w:eastAsia="Times New Roman" w:hAnsi="Garamond" w:cs="Times New Roman"/>
        </w:rPr>
        <w:t xml:space="preserve">. 2018; 6(4): 115. doi:10.3390/pharmacy6040115. </w:t>
      </w:r>
    </w:p>
    <w:p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bCs/>
        </w:rPr>
        <w:t>McLaughlin JE, Lupton-Smith C, Wolcott MD</w:t>
      </w:r>
      <w:r w:rsidRPr="006D55C3">
        <w:rPr>
          <w:rFonts w:ascii="Garamond" w:eastAsia="Times New Roman" w:hAnsi="Garamond" w:cs="Times New Roman"/>
        </w:rPr>
        <w:t xml:space="preserve">. Text mining as a method for examining the alignment between educational outcomes and workforce needs. </w:t>
      </w:r>
      <w:r w:rsidRPr="006D55C3">
        <w:rPr>
          <w:rFonts w:ascii="Garamond" w:eastAsia="Times New Roman" w:hAnsi="Garamond" w:cs="Times New Roman"/>
          <w:i/>
          <w:iCs/>
        </w:rPr>
        <w:t>Education in the Health Professions</w:t>
      </w:r>
      <w:r w:rsidRPr="006D55C3">
        <w:rPr>
          <w:rFonts w:ascii="Garamond" w:eastAsia="Times New Roman" w:hAnsi="Garamond" w:cs="Times New Roman"/>
        </w:rPr>
        <w:t xml:space="preserve">. 2018; 1 (2): 55-60. doi:10.4103/EHP.EHP_25_18. </w:t>
      </w:r>
    </w:p>
    <w:p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bCs/>
        </w:rPr>
        <w:t>Lyons K, Minshew LM, McLaughlin JE</w:t>
      </w:r>
      <w:r w:rsidRPr="006D55C3">
        <w:rPr>
          <w:rFonts w:ascii="Garamond" w:eastAsia="Times New Roman" w:hAnsi="Garamond" w:cs="Times New Roman"/>
        </w:rPr>
        <w:t xml:space="preserve">. Response to Student and School-level Predictors of Pharmacy Residency Attainment. </w:t>
      </w:r>
      <w:r w:rsidRPr="006D55C3">
        <w:rPr>
          <w:rFonts w:ascii="Garamond" w:eastAsia="Times New Roman" w:hAnsi="Garamond" w:cs="Times New Roman"/>
          <w:i/>
          <w:iCs/>
        </w:rPr>
        <w:t xml:space="preserve">Am J Pharm Educ. </w:t>
      </w:r>
      <w:r w:rsidRPr="006D55C3">
        <w:rPr>
          <w:rFonts w:ascii="Garamond" w:eastAsia="Times New Roman" w:hAnsi="Garamond" w:cs="Times New Roman"/>
        </w:rPr>
        <w:t xml:space="preserve"> 2018; 82(8):7320.</w:t>
      </w:r>
    </w:p>
    <w:p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bCs/>
        </w:rPr>
        <w:t>McLaughlin JE</w:t>
      </w:r>
      <w:r w:rsidRPr="006D55C3">
        <w:rPr>
          <w:rFonts w:ascii="Garamond" w:eastAsia="Times New Roman" w:hAnsi="Garamond" w:cs="Times New Roman"/>
        </w:rPr>
        <w:t xml:space="preserve">. Flipped classrooms, by design. Invited commentary to </w:t>
      </w:r>
      <w:r w:rsidRPr="006D55C3">
        <w:rPr>
          <w:rFonts w:ascii="Garamond" w:eastAsia="Times New Roman" w:hAnsi="Garamond" w:cs="Times New Roman"/>
          <w:i/>
        </w:rPr>
        <w:t>Medical Education.</w:t>
      </w:r>
      <w:r w:rsidRPr="006D55C3">
        <w:rPr>
          <w:rFonts w:ascii="Garamond" w:eastAsia="Times New Roman" w:hAnsi="Garamond" w:cs="Times New Roman"/>
        </w:rPr>
        <w:t xml:space="preserve"> 52(9), 887-888.</w:t>
      </w:r>
    </w:p>
    <w:p w:rsidR="004503F1" w:rsidRDefault="004503F1">
      <w:pPr>
        <w:spacing w:after="160" w:line="259" w:lineRule="auto"/>
        <w:rPr>
          <w:rFonts w:ascii="Garamond" w:eastAsia="Times New Roman" w:hAnsi="Garamond" w:cs="Times New Roman"/>
          <w:b/>
        </w:rPr>
      </w:pPr>
      <w:r>
        <w:rPr>
          <w:rFonts w:ascii="Garamond" w:eastAsia="Times New Roman" w:hAnsi="Garamond" w:cs="Times New Roman"/>
          <w:b/>
        </w:rPr>
        <w:br w:type="page"/>
      </w:r>
    </w:p>
    <w:p w:rsidR="006D55C3" w:rsidRDefault="006D55C3" w:rsidP="00AC11F4">
      <w:pPr>
        <w:tabs>
          <w:tab w:val="left" w:pos="360"/>
        </w:tabs>
        <w:spacing w:after="0" w:line="240" w:lineRule="auto"/>
        <w:jc w:val="both"/>
        <w:rPr>
          <w:rFonts w:ascii="Garamond" w:eastAsia="Times New Roman" w:hAnsi="Garamond" w:cs="Times New Roman"/>
          <w:b/>
        </w:rPr>
      </w:pPr>
    </w:p>
    <w:p w:rsidR="00BB79E3" w:rsidRDefault="00BB79E3" w:rsidP="00AC11F4">
      <w:pPr>
        <w:tabs>
          <w:tab w:val="left" w:pos="360"/>
        </w:tabs>
        <w:spacing w:after="0" w:line="240" w:lineRule="auto"/>
        <w:jc w:val="both"/>
        <w:rPr>
          <w:rFonts w:ascii="Garamond" w:eastAsia="Times New Roman" w:hAnsi="Garamond" w:cs="Times New Roman"/>
          <w:b/>
        </w:rPr>
      </w:pPr>
      <w:r>
        <w:rPr>
          <w:rFonts w:ascii="Garamond" w:eastAsia="Times New Roman" w:hAnsi="Garamond" w:cs="Times New Roman"/>
          <w:b/>
        </w:rPr>
        <w:t>2017 (</w:t>
      </w:r>
      <w:r w:rsidR="00FC2C38">
        <w:rPr>
          <w:rFonts w:ascii="Garamond" w:eastAsia="Times New Roman" w:hAnsi="Garamond" w:cs="Times New Roman"/>
          <w:b/>
        </w:rPr>
        <w:t>4</w:t>
      </w:r>
      <w:r w:rsidR="005266F5">
        <w:rPr>
          <w:rFonts w:ascii="Garamond" w:eastAsia="Times New Roman" w:hAnsi="Garamond" w:cs="Times New Roman"/>
          <w:b/>
        </w:rPr>
        <w:t>5</w:t>
      </w:r>
      <w:r w:rsidR="00FC2C38">
        <w:rPr>
          <w:rFonts w:ascii="Garamond" w:eastAsia="Times New Roman" w:hAnsi="Garamond" w:cs="Times New Roman"/>
          <w:b/>
        </w:rPr>
        <w:t xml:space="preserve"> publications)</w:t>
      </w:r>
      <w:r w:rsidR="007E2163">
        <w:rPr>
          <w:rFonts w:ascii="Garamond" w:eastAsia="Times New Roman" w:hAnsi="Garamond" w:cs="Times New Roman"/>
          <w:b/>
        </w:rPr>
        <w:t>:</w:t>
      </w:r>
    </w:p>
    <w:p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Angelo TA. Assessing motivation to improve learning: Practical applications for Keller’s MVP model and ARCS-V design process. New Directions for Teaching &amp; Learning. 2017;152:99-108. doi: 10.1002/tl.20272.</w:t>
      </w:r>
    </w:p>
    <w:p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Amerine LB, Valgus JM, Moore JD, Arnall JR, Savage SW. Implementation of a longitudinal early immersion student pharmacist health system internship program. Curr Pharm Teach Learn. 2017;9(3):421-426. doi: 10.1016/j.cptl.2017.01.011.</w:t>
      </w:r>
    </w:p>
    <w:p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Bush AA, Buhlinger KM, McLaughlin JE. Identifying shared values for school-affiliated student organizations. Am J Pharm Educ. 2017;81(9):6076. doi: 10.5688/ajpe6076.</w:t>
      </w:r>
    </w:p>
    <w:p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Bush AA, McLaughlin JE, White C. A review of contemporary diversity literature in pharmacy education. Am J Pharm Educ. 2017;81(7):5961. doi: 10.5688/ajpe5961.</w:t>
      </w:r>
    </w:p>
    <w:p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Chesnut RJ, Atcha II, Do DP, et al. Report of the 2016-2017 Student affairs standing committee. Am J Pharm Educ. 2017;81(8):S12. doi: 10.5688/ajpeS12.</w:t>
      </w:r>
    </w:p>
    <w:p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Fereri SP, Cross LB, Hanes SD, Jenkins T, Meyer D, Pittenger A. Academic pharmacy: Where is our influence?. Am J Pharm Educ. 2017;81(4):63. doi: 10.5688/ajpe81463.</w:t>
      </w:r>
    </w:p>
    <w:p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Friedman AD, Melendez CR, Bush AA, Lai SK, McLaughlin, JE. The young innovators program at the Eshelman Institute for Innovation: A case study examining the role of a professional pharmacy school in enhancing STEM pursuits among secondary school students. International J of STEM Educ. 2017;4(1):17. doi: 10.1186/s40594-017-0081-4.</w:t>
      </w:r>
    </w:p>
    <w:p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Gatwood J, Hohmeier K, Farr G, Eckel S. A comparison of approaches to student pharmacist business planning in pharmacy practice management. Am J Pharm Educ. 2017. doi: 10.5688/ajpe6279.</w:t>
      </w:r>
    </w:p>
    <w:p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Greene JM, Fuller KA, Persky AM. Pharmacy education from benchtop to bedside: Practical tips for integrating clinical relevance into foundational science courses. Am J Pharm Educ. 2017. doi: 10.5688/ajpe6603.</w:t>
      </w:r>
    </w:p>
    <w:p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Grice GR, Thomason AR, Meny LM, Pinelli NR, Martello JL, Zorek JA. Intentional interprofessional experiential education.  Am J Pharm Educ. 2017. doi: 10.5688/ajpe6502.</w:t>
      </w:r>
    </w:p>
    <w:p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Haines ST, Pittenger AL, Stolte SK, Plaza CM, Gleason BL, Kantorovich A, McCollum M, Trujillo JM, Copeland DA, Lacroix MM, Masuda QN, Mbi P, Medina MS, Miller SM. Core entrustable professional activities for new pharmacy graduates. Am J Pharm Educ. 2017;81(1):S2. doi: 10.5688/ajpe811S2.</w:t>
      </w:r>
    </w:p>
    <w:p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Hudson SL, Jarstfer MB, Persky AM. Is learning improved when students generate and answer peer written questions? Am J Pharm Educ. 2017. doi: 10.5688/ajpe6315.</w:t>
      </w:r>
    </w:p>
    <w:p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Jih JS, Shrewsbury RP. Self-analysis of student nonsterile preparations improved compounding confidence. Am J Pharm Educ. 2017. doi: 10.5688/ajpe6473.</w:t>
      </w:r>
    </w:p>
    <w:p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 xml:space="preserve">Kulig CE, Persky AM. Transition and student well-being-Why we need to start the conversation. Am J Pharm Educ. 2017;81(6):100. doi: 10.5688/ajpe816100. </w:t>
      </w:r>
    </w:p>
    <w:p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Law MG, Maposa P, Steeb DR, Duncan G. Addressing the global need for public health clinical pharmacists through student pharmacist education: a focus on developing nations. Int J Clin Pharm. 2017;39(6):1141-1144. doi: 10.1007/s11096-017-0537-0.</w:t>
      </w:r>
    </w:p>
    <w:p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Lyons K, Griggs D, Lebovic R, Roth ME, South DA, Hatfield C. The University of North Carolina Medical Center pharmacy resident leadership certificate program. Am J Health Syst Pharm. 2017;74(6):430-436. doi: 10.2146/ajhp160107.</w:t>
      </w:r>
    </w:p>
    <w:p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Lyons K, McLaughlin JE, Khanova J, Roth MT. Cognitive apprenticeship in health sciences education: a qualitative review. Adv Health Sci Educ Theory Pract. 2017;22(3):723-739. doi: 10.1007/s10459-016-9707-4.</w:t>
      </w:r>
    </w:p>
    <w:p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Lyons K, Taylor DA, Minshew LM, McLaughlin, JE. Student and school-level predictors of pharmacy residency attainment. Am J Pharm Educ. 2017. doi: 10.5688/ajpe6220.</w:t>
      </w:r>
    </w:p>
    <w:p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Mann JE, Amerine LB, Waldron K, Wolcott MD, McLaughlin JE. Pharmacist perceptions of competency: Identifying priority areas for a competency program development at an academic medical center. Res Social Adm Pharm. 2017. doi: 10.1016/j.sapharm.2017.07.008.</w:t>
      </w:r>
    </w:p>
    <w:p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Maxwell E, Salch S, Boliko M, et al. Discrepancies in lesbian, gay, bisexual, and transgender patient care and how pharmacists can support an evolved practice. Am J Pharm Educ. 2017;81(7):6181. doi: 10.5688/ajpe8176181.</w:t>
      </w:r>
    </w:p>
    <w:p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 xml:space="preserve">McCabe C, Smith MG, Ferreri SP. Comparison of flipped model to traditional classroom learning in a professional pharmacy course. Educ Sci. 2017;7(3):73. doi: 10.5688/ajpe81470. </w:t>
      </w:r>
    </w:p>
    <w:p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McLaughlin JE, Bush AA, Rodgers PT, Scott MA, Zomorodi M, Pinelli NR, Roth MT. Exploring the requisite skills and competencies of pharmacists needed for success in an evolving health care environment. Am J Pharm Educ. 2017;81(6):116. doi: 10.5688/ajpe816116.</w:t>
      </w:r>
    </w:p>
    <w:p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McLaughlin JE, Kennedy L, Garris S, et al. Student pharmacist experiences as inpatient psychiatry medication education group leaders during an early immersion program. Curr Pharm Teach Learn. 2017;9(5):856-861. doi: 10.1016/j.cptl.2017.06.005.</w:t>
      </w:r>
    </w:p>
    <w:p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McLaughlin JE, Khanova J, Persky A, Hathaway N, Cox W. Design, implementation, and outcomes of a three-week pharmacy bridging course. Am J Pharm Educ. 2017;81(7):6313. doi: 10.5688/ajpe8176313.</w:t>
      </w:r>
    </w:p>
    <w:p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McLaughlin JE, Singer D, Cox WC. Candidate evaluation using targeted construct assessment in the multiple mini-interview: A multifaceted rasch model analysis. Teach Learn Med. 2017;29(1):68-74. doi: 10.1080/10401334.2016.1205997.</w:t>
      </w:r>
    </w:p>
    <w:p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Medina MS, Castleberry AN, Persky AM. Strategies for improving learner metacognition in health professional education. Am J Pharm Educ. 2017;81(4):78. doi: 10.5688/ajpe81478.</w:t>
      </w:r>
    </w:p>
    <w:p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Michalets EL, Williams C, Park I. Ten year experience with student pharmacist research within a health system and education center. Currents in Pharm Teaching and Learning 2018. [Ahead of print December 2017] doi: 10.1016/j.cpt.2017.11.010.</w:t>
      </w:r>
    </w:p>
    <w:p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Muratov E, Lewis M, Fourches D, Tropsha A, Cox WC. Computer-assisted decision support for student admissions based on their predicted academic performance. Am J Pharm Educ. 2017;81(3):46. doi: 10.5688/ajpe81346.</w:t>
      </w:r>
    </w:p>
    <w:p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Persky AM, Greene JM, Anksorus H, Fuller KA, McLaughlin JE. Developing an innovative, comprehensive first-year capstone to assess and inform student learning and curriculum effectiveness. Am J Pharm Educ. 2017. doi: 10.5688/ajpe6730.</w:t>
      </w:r>
    </w:p>
    <w:p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Persky AM, Hogg A. Influence of reading material characteristics on study-time for pre-class quizzes in a flipped classroom. Am J Pharm Educ. 2017;81(6):103. doi: 10.5688/ajpe816103.</w:t>
      </w:r>
    </w:p>
    <w:p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Persky AM, McLaughlin JE. The flipped classroom- from theory to practice in health professional education. Am J Pharm Educ. 2017;81(6). doi: 10.5688/ajpe816118.</w:t>
      </w:r>
    </w:p>
    <w:p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 xml:space="preserve">Persky AM, Mierzwa H. Determinants of the time to complete an examination: Knowledge, metacognition or personality? Am J Pharm Educ. 2017. doi: 10.5688/ajpe6321. </w:t>
      </w:r>
    </w:p>
    <w:p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Pinelli NR, McLaughlin JE, Chen SL, Luter DN, Arnall J, Smith S, Roth MT, Rodgers PT, Williams DM, Amerine LB. Improved organizational outcomes associated with incorporation of early clinical experiences for second-year student pharmacists at an academic medical center. J Pharm Pract. 2017;30(1):99-108. doi: 10.1177/0897190015585765.</w:t>
      </w:r>
    </w:p>
    <w:p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Pittenger AL, Copeland DA, Lacroix MM, et al. Report of the 2016-17 academic affairs standing committee: Entrustable professional activities implementation roadmap. Am J Pharm Educ. 2017;81(5):S4. doi: 10.5688/ajpe815S4.</w:t>
      </w:r>
    </w:p>
    <w:p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Rhodes LA, Marciniak MW, McLaughlin JE, Melendez CR, Leadon KI, Pinelli NR. Exploratory analysis of entrustable professional activities as a performance measure during early practice experiences in a doctor of pharmacy program. Am J Pharm Educ. 2017. doi: 10.5688/ajpe6517.</w:t>
      </w:r>
    </w:p>
    <w:p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Sanders KA, McLaughlin JE, Waldron KM, Willoughby I, Pinelli NR. Educational outcomes associated with early immersion of second-year student pharmacists into direct patient care roles in health system practice. Curr in Pharm Teach and Learn. 2017. doi: 10.1016/j.cptl.2017.10.009.</w:t>
      </w:r>
    </w:p>
    <w:p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Sanders KA, Wolcott MD, McLaughlin JE, D'ostroph A, Shea CM, Pinelli NR. Organizational readiness for change: Preceptor perceptions regarding early immersion of student pharmacists in health-system practice. Res Social Adm Pharm. 2017;13(5):1028-1035. doi: 10.1016/j.sapharm.2017.03.004.</w:t>
      </w:r>
    </w:p>
    <w:p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Scott MA, Kiser S, Park I, Grandy R, Joyner PU. Creating a new rural pharmacy workforce: Development and implementation of the Rural Pharmacy Health Initiative. Am J Health Syst Pharm. 2017;74(23):2005-2012. doi: 10.2146/ajhp160727.</w:t>
      </w:r>
    </w:p>
    <w:p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Scott MA, McLaughlin JE, Shepherd G, Williams C, Zeeman J, Joyner PU. Author response to "Considerations for determining perceived benefits and challenges of student organizations at pharmacy school satellite campuses". Am J Pharm Educ. 2017;81(2):40.</w:t>
      </w:r>
    </w:p>
    <w:p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Terenyi J, Anksorus H, Persky AM. Learning brand name-generics: Impact of spacing practice. Am J Pharm Educ. 2017. doi: 10.5688/ajpe6179.</w:t>
      </w:r>
    </w:p>
    <w:p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Westberg SM, Beatty SJ, Corona AR, Deines S, Gunning KM, Gurgle HE, Holtan HS, Marciniak MW, Mcconnell K, McGivney M, Patel RJ. Residency pathways to ambulatory care practice: Essential insights for students, residents, and educators. J Am Pharm Assoc (2003). 2017. doi: 10.1016/j.japh.2017.08.013.</w:t>
      </w:r>
    </w:p>
    <w:p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White C, Conway JM, Davis PK, Johnson-Fannin AM, Jurkas JG, Murphy NL, Smith WT, Echeverri M, Youmans SL, Owings KC, Adams JL. AACP special taskforce white paper on diversifying our investment in human capital. Am J Pharm Educ. 2017;81(8):S13. doi: 10.5688/ajpeS13.</w:t>
      </w:r>
    </w:p>
    <w:p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White PJ, Naidu S, Yuriev E, Short JL, McLaughlin JE, Larson IC. Student engagement with a flipped classroom teaching design affects pharmacology examination performance in manner dependent on question type. Am J Pharm Educ. 2017;81(9):5931. doi: 10.5688/ajpe5931.</w:t>
      </w:r>
    </w:p>
    <w:p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Zeeman JM, McLaughlin JE, Cox WC. Validity and reliability of an application review process using dedicated reviewers in one stage of a multi-stage admissions model. Curr Pharm Teach Learn. 2017;9(6):972-979. doi: 10.1016/j.cptl.2017.07.012+.</w:t>
      </w:r>
    </w:p>
    <w:p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 xml:space="preserve">Zeeman J, Wingo B, Cox W. Design and assessment of a two-phase learner-centered new student orientation program. Curr Pharm Teach and Learn. 2017. </w:t>
      </w:r>
    </w:p>
    <w:p w:rsidR="00BB79E3" w:rsidRDefault="00BB79E3" w:rsidP="00AC11F4">
      <w:pPr>
        <w:tabs>
          <w:tab w:val="left" w:pos="360"/>
        </w:tabs>
        <w:spacing w:after="0" w:line="240" w:lineRule="auto"/>
        <w:jc w:val="both"/>
        <w:rPr>
          <w:rFonts w:ascii="Garamond" w:eastAsia="Times New Roman" w:hAnsi="Garamond" w:cs="Times New Roman"/>
          <w:b/>
        </w:rPr>
      </w:pPr>
    </w:p>
    <w:p w:rsidR="00BB79E3" w:rsidRDefault="00BB79E3" w:rsidP="00AC11F4">
      <w:pPr>
        <w:tabs>
          <w:tab w:val="left" w:pos="360"/>
        </w:tabs>
        <w:spacing w:after="0" w:line="240" w:lineRule="auto"/>
        <w:jc w:val="both"/>
        <w:rPr>
          <w:rFonts w:ascii="Garamond" w:eastAsia="Times New Roman" w:hAnsi="Garamond" w:cs="Times New Roman"/>
          <w:b/>
        </w:rPr>
      </w:pPr>
      <w:r w:rsidRPr="003E62C9">
        <w:rPr>
          <w:rFonts w:ascii="Garamond" w:eastAsia="Times New Roman" w:hAnsi="Garamond" w:cs="Times New Roman"/>
          <w:b/>
        </w:rPr>
        <w:t>2016 (</w:t>
      </w:r>
      <w:r w:rsidR="003E62C9" w:rsidRPr="003E62C9">
        <w:rPr>
          <w:rFonts w:ascii="Garamond" w:eastAsia="Times New Roman" w:hAnsi="Garamond" w:cs="Times New Roman"/>
          <w:b/>
        </w:rPr>
        <w:t>23</w:t>
      </w:r>
      <w:r w:rsidRPr="003E62C9">
        <w:rPr>
          <w:rFonts w:ascii="Garamond" w:eastAsia="Times New Roman" w:hAnsi="Garamond" w:cs="Times New Roman"/>
          <w:b/>
        </w:rPr>
        <w:t xml:space="preserve"> articles)</w:t>
      </w:r>
      <w:r w:rsidR="007E2163" w:rsidRPr="003E62C9">
        <w:rPr>
          <w:rFonts w:ascii="Garamond" w:eastAsia="Times New Roman" w:hAnsi="Garamond" w:cs="Times New Roman"/>
          <w:b/>
        </w:rPr>
        <w:t>:</w:t>
      </w:r>
    </w:p>
    <w:p w:rsidR="0033374E" w:rsidRPr="0033374E" w:rsidRDefault="0033374E" w:rsidP="00124DE5">
      <w:pPr>
        <w:pStyle w:val="ListParagraph"/>
        <w:numPr>
          <w:ilvl w:val="0"/>
          <w:numId w:val="2"/>
        </w:numPr>
        <w:spacing w:after="0" w:line="240" w:lineRule="auto"/>
        <w:rPr>
          <w:rFonts w:ascii="Garamond" w:eastAsia="Times New Roman" w:hAnsi="Garamond" w:cs="Times New Roman"/>
          <w:color w:val="000000" w:themeColor="text1"/>
          <w:szCs w:val="24"/>
        </w:rPr>
      </w:pPr>
      <w:r w:rsidRPr="0033374E">
        <w:rPr>
          <w:rFonts w:ascii="Garamond" w:eastAsia="Times New Roman" w:hAnsi="Garamond" w:cs="Times New Roman"/>
          <w:color w:val="000000" w:themeColor="text1"/>
          <w:szCs w:val="24"/>
        </w:rPr>
        <w:t>Bates JS, Buie LW, Amerine LB, Savage SW, Eckel SF, Patel R, Valgus JM, Rao K, Daniels R. Expanding care through a layered learning practice model.</w:t>
      </w:r>
      <w:r>
        <w:rPr>
          <w:rFonts w:ascii="Garamond" w:eastAsia="Times New Roman" w:hAnsi="Garamond" w:cs="Times New Roman"/>
          <w:color w:val="000000" w:themeColor="text1"/>
          <w:szCs w:val="24"/>
        </w:rPr>
        <w:t xml:space="preserve"> </w:t>
      </w:r>
      <w:r w:rsidRPr="0033374E">
        <w:rPr>
          <w:rFonts w:ascii="Garamond" w:eastAsia="Times New Roman" w:hAnsi="Garamond" w:cs="Times New Roman"/>
          <w:color w:val="000000" w:themeColor="text1"/>
          <w:szCs w:val="24"/>
        </w:rPr>
        <w:t>Am J Health Syst Pharm. 2016 Nov 15;73(22):1869-1875.</w:t>
      </w:r>
    </w:p>
    <w:p w:rsidR="0033374E" w:rsidRPr="0033374E" w:rsidRDefault="0033374E" w:rsidP="00F41D7F">
      <w:pPr>
        <w:pStyle w:val="ListParagraph"/>
        <w:numPr>
          <w:ilvl w:val="0"/>
          <w:numId w:val="2"/>
        </w:numPr>
        <w:spacing w:after="0" w:line="240" w:lineRule="auto"/>
        <w:rPr>
          <w:rFonts w:ascii="Garamond" w:eastAsia="Times New Roman" w:hAnsi="Garamond" w:cs="Times New Roman"/>
          <w:color w:val="000000" w:themeColor="text1"/>
          <w:szCs w:val="24"/>
        </w:rPr>
      </w:pPr>
      <w:r w:rsidRPr="0033374E">
        <w:rPr>
          <w:rFonts w:ascii="Garamond" w:eastAsia="Times New Roman" w:hAnsi="Garamond" w:cs="Times New Roman"/>
          <w:color w:val="000000" w:themeColor="text1"/>
          <w:szCs w:val="24"/>
        </w:rPr>
        <w:t>Bates JS, Buie LW, Lyons K, Rao K, Pinelli NR, McLaughlin JE, Roth MT. A Study of Layered Learning in Oncology.</w:t>
      </w:r>
      <w:r>
        <w:rPr>
          <w:rFonts w:ascii="Garamond" w:eastAsia="Times New Roman" w:hAnsi="Garamond" w:cs="Times New Roman"/>
          <w:color w:val="000000" w:themeColor="text1"/>
          <w:szCs w:val="24"/>
        </w:rPr>
        <w:t xml:space="preserve"> </w:t>
      </w:r>
      <w:r w:rsidRPr="0033374E">
        <w:rPr>
          <w:rFonts w:ascii="Garamond" w:eastAsia="Times New Roman" w:hAnsi="Garamond" w:cs="Times New Roman"/>
          <w:color w:val="000000" w:themeColor="text1"/>
          <w:szCs w:val="24"/>
        </w:rPr>
        <w:t>Am J Pharm Educ. 2016 May 25;80(4):68.</w:t>
      </w:r>
    </w:p>
    <w:p w:rsidR="0033374E" w:rsidRPr="0033374E" w:rsidRDefault="0033374E" w:rsidP="00D347D5">
      <w:pPr>
        <w:pStyle w:val="ListParagraph"/>
        <w:numPr>
          <w:ilvl w:val="0"/>
          <w:numId w:val="2"/>
        </w:numPr>
        <w:spacing w:after="0" w:line="240" w:lineRule="auto"/>
        <w:rPr>
          <w:rFonts w:ascii="Garamond" w:eastAsia="Times New Roman" w:hAnsi="Garamond" w:cs="Times New Roman"/>
          <w:color w:val="000000" w:themeColor="text1"/>
          <w:szCs w:val="24"/>
        </w:rPr>
      </w:pPr>
      <w:r w:rsidRPr="0033374E">
        <w:rPr>
          <w:rFonts w:ascii="Garamond" w:eastAsia="Times New Roman" w:hAnsi="Garamond" w:cs="Times New Roman"/>
          <w:color w:val="000000" w:themeColor="text1"/>
          <w:szCs w:val="24"/>
        </w:rPr>
        <w:t>Bradley CL, Khanova J, Scolaro KL.Evaluation of a Teaching Assistant Program for Third-Year Pharmacy Students.</w:t>
      </w:r>
      <w:r>
        <w:rPr>
          <w:rFonts w:ascii="Garamond" w:eastAsia="Times New Roman" w:hAnsi="Garamond" w:cs="Times New Roman"/>
          <w:color w:val="000000" w:themeColor="text1"/>
          <w:szCs w:val="24"/>
        </w:rPr>
        <w:t xml:space="preserve"> </w:t>
      </w:r>
      <w:r w:rsidRPr="0033374E">
        <w:rPr>
          <w:rFonts w:ascii="Garamond" w:eastAsia="Times New Roman" w:hAnsi="Garamond" w:cs="Times New Roman"/>
          <w:color w:val="000000" w:themeColor="text1"/>
          <w:szCs w:val="24"/>
        </w:rPr>
        <w:t>Am J Pharm Educ. 2016 Nov 25;80(9):149.</w:t>
      </w:r>
    </w:p>
    <w:p w:rsidR="0033374E" w:rsidRDefault="0033374E" w:rsidP="0033374E">
      <w:pPr>
        <w:pStyle w:val="ListParagraph"/>
        <w:numPr>
          <w:ilvl w:val="0"/>
          <w:numId w:val="2"/>
        </w:numPr>
        <w:spacing w:after="0" w:line="240" w:lineRule="auto"/>
        <w:rPr>
          <w:rFonts w:ascii="Garamond" w:eastAsia="Times New Roman" w:hAnsi="Garamond" w:cs="Times New Roman"/>
          <w:color w:val="000000" w:themeColor="text1"/>
          <w:szCs w:val="24"/>
        </w:rPr>
      </w:pPr>
      <w:r w:rsidRPr="0033374E">
        <w:rPr>
          <w:rFonts w:ascii="Garamond" w:eastAsia="Times New Roman" w:hAnsi="Garamond" w:cs="Times New Roman"/>
          <w:color w:val="000000" w:themeColor="text1"/>
          <w:szCs w:val="24"/>
        </w:rPr>
        <w:t>Frick A, Benton CS, Scolaro KL, McLaughlin JE, Bradley CL, Suzuki OT, Wang N, Wiltshire T.</w:t>
      </w:r>
      <w:r>
        <w:rPr>
          <w:rFonts w:ascii="Garamond" w:eastAsia="Times New Roman" w:hAnsi="Garamond" w:cs="Times New Roman"/>
          <w:color w:val="000000" w:themeColor="text1"/>
          <w:szCs w:val="24"/>
        </w:rPr>
        <w:t xml:space="preserve"> </w:t>
      </w:r>
      <w:r w:rsidRPr="0033374E">
        <w:rPr>
          <w:rFonts w:ascii="Garamond" w:eastAsia="Times New Roman" w:hAnsi="Garamond" w:cs="Times New Roman"/>
          <w:color w:val="000000" w:themeColor="text1"/>
          <w:szCs w:val="24"/>
        </w:rPr>
        <w:t>Transitioning Pharmacogenomics into the Clinical Setting: Training Future Pharmacists.</w:t>
      </w:r>
      <w:r>
        <w:rPr>
          <w:rFonts w:ascii="Garamond" w:eastAsia="Times New Roman" w:hAnsi="Garamond" w:cs="Times New Roman"/>
          <w:color w:val="000000" w:themeColor="text1"/>
          <w:szCs w:val="24"/>
        </w:rPr>
        <w:t xml:space="preserve"> </w:t>
      </w:r>
      <w:r w:rsidRPr="0033374E">
        <w:rPr>
          <w:rFonts w:ascii="Garamond" w:eastAsia="Times New Roman" w:hAnsi="Garamond" w:cs="Times New Roman"/>
          <w:color w:val="000000" w:themeColor="text1"/>
          <w:szCs w:val="24"/>
        </w:rPr>
        <w:t>Front Pharmacol. 2016 Aug 8;7:241.</w:t>
      </w:r>
    </w:p>
    <w:p w:rsidR="0033374E" w:rsidRPr="0033374E" w:rsidRDefault="0033374E" w:rsidP="008238EA">
      <w:pPr>
        <w:pStyle w:val="ListParagraph"/>
        <w:numPr>
          <w:ilvl w:val="0"/>
          <w:numId w:val="2"/>
        </w:numPr>
        <w:spacing w:after="0" w:line="240" w:lineRule="auto"/>
        <w:rPr>
          <w:rFonts w:ascii="Garamond" w:eastAsia="Times New Roman" w:hAnsi="Garamond" w:cs="Times New Roman"/>
          <w:color w:val="000000" w:themeColor="text1"/>
          <w:szCs w:val="24"/>
        </w:rPr>
      </w:pPr>
      <w:r w:rsidRPr="0033374E">
        <w:rPr>
          <w:rFonts w:ascii="Garamond" w:eastAsia="Times New Roman" w:hAnsi="Garamond" w:cs="Times New Roman"/>
          <w:color w:val="000000" w:themeColor="text1"/>
          <w:szCs w:val="24"/>
        </w:rPr>
        <w:t>Lyons K, McLaughlin JE, Khanova J, Roth MT. Cognitive apprenticeship in health sciences education: a qualitative review.</w:t>
      </w:r>
      <w:r>
        <w:rPr>
          <w:rFonts w:ascii="Garamond" w:eastAsia="Times New Roman" w:hAnsi="Garamond" w:cs="Times New Roman"/>
          <w:color w:val="000000" w:themeColor="text1"/>
          <w:szCs w:val="24"/>
        </w:rPr>
        <w:t xml:space="preserve"> </w:t>
      </w:r>
      <w:r w:rsidRPr="0033374E">
        <w:rPr>
          <w:rFonts w:ascii="Garamond" w:eastAsia="Times New Roman" w:hAnsi="Garamond" w:cs="Times New Roman"/>
          <w:color w:val="000000" w:themeColor="text1"/>
          <w:szCs w:val="24"/>
        </w:rPr>
        <w:t>Adv Health Sci Educ Theory Pract. 2017 Aug;22(3):723-739.</w:t>
      </w:r>
    </w:p>
    <w:p w:rsidR="007E2163" w:rsidRPr="00B6187C" w:rsidRDefault="007E2163" w:rsidP="007E2163">
      <w:pPr>
        <w:pStyle w:val="ListParagraph"/>
        <w:numPr>
          <w:ilvl w:val="0"/>
          <w:numId w:val="2"/>
        </w:numPr>
        <w:spacing w:after="0" w:line="240" w:lineRule="auto"/>
        <w:rPr>
          <w:rFonts w:ascii="Garamond" w:eastAsia="Times New Roman" w:hAnsi="Garamond" w:cs="Times New Roman"/>
          <w:color w:val="000000" w:themeColor="text1"/>
          <w:szCs w:val="24"/>
        </w:rPr>
      </w:pPr>
      <w:r w:rsidRPr="00E3255B">
        <w:rPr>
          <w:rFonts w:ascii="Garamond" w:eastAsia="Times New Roman" w:hAnsi="Garamond" w:cs="Arial"/>
          <w:color w:val="000000" w:themeColor="text1"/>
          <w:szCs w:val="24"/>
        </w:rPr>
        <w:t>McLaughlin, J. E., Bush, A. A., &amp; Zeeman, J. M. (2016). Mixed methods: Expanding research methodologies in pharmacy education. </w:t>
      </w:r>
      <w:r w:rsidRPr="00E3255B">
        <w:rPr>
          <w:rFonts w:ascii="Garamond" w:eastAsia="Times New Roman" w:hAnsi="Garamond" w:cs="Arial"/>
          <w:i/>
          <w:iCs/>
          <w:color w:val="000000" w:themeColor="text1"/>
          <w:szCs w:val="24"/>
        </w:rPr>
        <w:t>Currents in Pharmacy Teaching and Learning</w:t>
      </w:r>
      <w:r w:rsidRPr="00E3255B">
        <w:rPr>
          <w:rFonts w:ascii="Garamond" w:eastAsia="Times New Roman" w:hAnsi="Garamond" w:cs="Arial"/>
          <w:color w:val="000000" w:themeColor="text1"/>
          <w:szCs w:val="24"/>
        </w:rPr>
        <w:t>, </w:t>
      </w:r>
      <w:r w:rsidRPr="00E3255B">
        <w:rPr>
          <w:rFonts w:ascii="Garamond" w:eastAsia="Times New Roman" w:hAnsi="Garamond" w:cs="Arial"/>
          <w:i/>
          <w:iCs/>
          <w:color w:val="000000" w:themeColor="text1"/>
          <w:szCs w:val="24"/>
        </w:rPr>
        <w:t>8</w:t>
      </w:r>
      <w:r w:rsidRPr="00E3255B">
        <w:rPr>
          <w:rFonts w:ascii="Garamond" w:eastAsia="Times New Roman" w:hAnsi="Garamond" w:cs="Arial"/>
          <w:color w:val="000000" w:themeColor="text1"/>
          <w:szCs w:val="24"/>
        </w:rPr>
        <w:t>(5), 715-721.</w:t>
      </w:r>
    </w:p>
    <w:p w:rsidR="00B6187C" w:rsidRPr="00B6187C" w:rsidRDefault="00B6187C" w:rsidP="0041588A">
      <w:pPr>
        <w:pStyle w:val="ListParagraph"/>
        <w:numPr>
          <w:ilvl w:val="0"/>
          <w:numId w:val="2"/>
        </w:numPr>
        <w:spacing w:after="0" w:line="240" w:lineRule="auto"/>
        <w:rPr>
          <w:rFonts w:ascii="Garamond" w:eastAsia="Times New Roman" w:hAnsi="Garamond" w:cs="Times New Roman"/>
          <w:color w:val="000000" w:themeColor="text1"/>
          <w:szCs w:val="24"/>
        </w:rPr>
      </w:pPr>
      <w:r w:rsidRPr="00B6187C">
        <w:rPr>
          <w:rFonts w:ascii="Garamond" w:eastAsia="Times New Roman" w:hAnsi="Garamond" w:cs="Times New Roman"/>
          <w:color w:val="000000" w:themeColor="text1"/>
          <w:szCs w:val="24"/>
        </w:rPr>
        <w:t>McLaughlin JE, McLaughlin GW, McLaughlin JS, White CY. Using Simpson's diversity index to examine multidimensional models of diversity in health professions education.</w:t>
      </w:r>
      <w:r>
        <w:rPr>
          <w:rFonts w:ascii="Garamond" w:eastAsia="Times New Roman" w:hAnsi="Garamond" w:cs="Times New Roman"/>
          <w:color w:val="000000" w:themeColor="text1"/>
          <w:szCs w:val="24"/>
        </w:rPr>
        <w:t xml:space="preserve"> </w:t>
      </w:r>
      <w:r w:rsidRPr="00B6187C">
        <w:rPr>
          <w:rFonts w:ascii="Garamond" w:eastAsia="Times New Roman" w:hAnsi="Garamond" w:cs="Times New Roman"/>
          <w:color w:val="000000" w:themeColor="text1"/>
          <w:szCs w:val="24"/>
        </w:rPr>
        <w:t>Int J Med Educ. 2016 Jan 3;7:1-5.</w:t>
      </w:r>
    </w:p>
    <w:p w:rsidR="0033374E" w:rsidRPr="0033374E" w:rsidRDefault="0033374E" w:rsidP="005E7543">
      <w:pPr>
        <w:pStyle w:val="ListParagraph"/>
        <w:numPr>
          <w:ilvl w:val="0"/>
          <w:numId w:val="2"/>
        </w:numPr>
        <w:spacing w:after="0" w:line="240" w:lineRule="auto"/>
        <w:rPr>
          <w:rFonts w:ascii="Garamond" w:eastAsia="Times New Roman" w:hAnsi="Garamond" w:cs="Times New Roman"/>
          <w:color w:val="000000" w:themeColor="text1"/>
          <w:szCs w:val="24"/>
        </w:rPr>
      </w:pPr>
      <w:r w:rsidRPr="0033374E">
        <w:rPr>
          <w:rFonts w:ascii="Garamond" w:eastAsia="Times New Roman" w:hAnsi="Garamond" w:cs="Times New Roman"/>
          <w:color w:val="000000" w:themeColor="text1"/>
          <w:szCs w:val="24"/>
        </w:rPr>
        <w:t>Naughton CA, Schweiger TA, Angelo LB, Lea Bonner C, Dhing CW, Farley JF. Expanding Dress Code Requirements in the Doctor of Pharmacy Program.</w:t>
      </w:r>
      <w:r>
        <w:rPr>
          <w:rFonts w:ascii="Garamond" w:eastAsia="Times New Roman" w:hAnsi="Garamond" w:cs="Times New Roman"/>
          <w:color w:val="000000" w:themeColor="text1"/>
          <w:szCs w:val="24"/>
        </w:rPr>
        <w:t xml:space="preserve"> </w:t>
      </w:r>
      <w:r w:rsidRPr="0033374E">
        <w:rPr>
          <w:rFonts w:ascii="Garamond" w:eastAsia="Times New Roman" w:hAnsi="Garamond" w:cs="Times New Roman"/>
          <w:color w:val="000000" w:themeColor="text1"/>
          <w:szCs w:val="24"/>
        </w:rPr>
        <w:t>Am J Pharm Educ. 2016 Jun 25;80(5):74.</w:t>
      </w:r>
    </w:p>
    <w:p w:rsidR="007E2163" w:rsidRPr="00E3255B" w:rsidRDefault="007E2163" w:rsidP="007E2163">
      <w:pPr>
        <w:pStyle w:val="ListParagraph"/>
        <w:numPr>
          <w:ilvl w:val="0"/>
          <w:numId w:val="2"/>
        </w:numPr>
        <w:spacing w:after="0" w:line="240" w:lineRule="auto"/>
        <w:rPr>
          <w:rFonts w:ascii="Garamond" w:eastAsia="Times New Roman" w:hAnsi="Garamond" w:cs="Times New Roman"/>
          <w:color w:val="000000" w:themeColor="text1"/>
          <w:szCs w:val="24"/>
        </w:rPr>
      </w:pPr>
      <w:r w:rsidRPr="00E3255B">
        <w:rPr>
          <w:rFonts w:ascii="Garamond" w:eastAsia="Times New Roman" w:hAnsi="Garamond" w:cs="Arial"/>
          <w:color w:val="000000" w:themeColor="text1"/>
          <w:szCs w:val="24"/>
          <w:shd w:val="clear" w:color="auto" w:fill="FFFFFF"/>
        </w:rPr>
        <w:t>Park, H. L., &amp; Shrewsbury, R. P. (2016). Student evaluation of online pharmaceutical compounding videos. </w:t>
      </w:r>
      <w:r w:rsidRPr="00E3255B">
        <w:rPr>
          <w:rFonts w:ascii="Garamond" w:eastAsia="Times New Roman" w:hAnsi="Garamond" w:cs="Arial"/>
          <w:i/>
          <w:iCs/>
          <w:color w:val="000000" w:themeColor="text1"/>
          <w:szCs w:val="24"/>
        </w:rPr>
        <w:t>American journal of pharmaceutical education</w:t>
      </w:r>
      <w:r w:rsidRPr="00E3255B">
        <w:rPr>
          <w:rFonts w:ascii="Garamond" w:eastAsia="Times New Roman" w:hAnsi="Garamond" w:cs="Arial"/>
          <w:color w:val="000000" w:themeColor="text1"/>
          <w:szCs w:val="24"/>
          <w:shd w:val="clear" w:color="auto" w:fill="FFFFFF"/>
        </w:rPr>
        <w:t>, </w:t>
      </w:r>
      <w:r w:rsidRPr="00E3255B">
        <w:rPr>
          <w:rFonts w:ascii="Garamond" w:eastAsia="Times New Roman" w:hAnsi="Garamond" w:cs="Arial"/>
          <w:i/>
          <w:iCs/>
          <w:color w:val="000000" w:themeColor="text1"/>
          <w:szCs w:val="24"/>
        </w:rPr>
        <w:t>80</w:t>
      </w:r>
      <w:r w:rsidRPr="00E3255B">
        <w:rPr>
          <w:rFonts w:ascii="Garamond" w:eastAsia="Times New Roman" w:hAnsi="Garamond" w:cs="Arial"/>
          <w:color w:val="000000" w:themeColor="text1"/>
          <w:szCs w:val="24"/>
          <w:shd w:val="clear" w:color="auto" w:fill="FFFFFF"/>
        </w:rPr>
        <w:t>(2), 30.</w:t>
      </w:r>
    </w:p>
    <w:p w:rsidR="0033374E" w:rsidRDefault="0033374E" w:rsidP="0033374E">
      <w:pPr>
        <w:pStyle w:val="ListParagraph"/>
        <w:numPr>
          <w:ilvl w:val="0"/>
          <w:numId w:val="2"/>
        </w:numPr>
        <w:spacing w:after="0" w:line="240" w:lineRule="auto"/>
        <w:rPr>
          <w:rFonts w:ascii="Garamond" w:eastAsia="Times New Roman" w:hAnsi="Garamond" w:cs="Times New Roman"/>
          <w:color w:val="000000" w:themeColor="text1"/>
          <w:szCs w:val="24"/>
        </w:rPr>
      </w:pPr>
      <w:r>
        <w:rPr>
          <w:rFonts w:ascii="Garamond" w:eastAsia="Times New Roman" w:hAnsi="Garamond" w:cs="Times New Roman"/>
          <w:color w:val="000000" w:themeColor="text1"/>
          <w:szCs w:val="24"/>
        </w:rPr>
        <w:t xml:space="preserve">Persky AM. </w:t>
      </w:r>
      <w:r w:rsidRPr="0033374E">
        <w:rPr>
          <w:rFonts w:ascii="Garamond" w:eastAsia="Times New Roman" w:hAnsi="Garamond" w:cs="Times New Roman"/>
          <w:color w:val="000000" w:themeColor="text1"/>
          <w:szCs w:val="24"/>
        </w:rPr>
        <w:t>Scientific Posters: A Plea from a Conference Attendee.</w:t>
      </w:r>
      <w:r>
        <w:rPr>
          <w:rFonts w:ascii="Garamond" w:eastAsia="Times New Roman" w:hAnsi="Garamond" w:cs="Times New Roman"/>
          <w:color w:val="000000" w:themeColor="text1"/>
          <w:szCs w:val="24"/>
        </w:rPr>
        <w:t xml:space="preserve"> </w:t>
      </w:r>
      <w:r w:rsidRPr="0033374E">
        <w:rPr>
          <w:rFonts w:ascii="Garamond" w:eastAsia="Times New Roman" w:hAnsi="Garamond" w:cs="Times New Roman"/>
          <w:color w:val="000000" w:themeColor="text1"/>
          <w:szCs w:val="24"/>
        </w:rPr>
        <w:t>Am J Pharm Educ. 2016 Dec 25;80(10):162.</w:t>
      </w:r>
    </w:p>
    <w:p w:rsidR="0033374E" w:rsidRPr="0033374E" w:rsidRDefault="0033374E" w:rsidP="000947FC">
      <w:pPr>
        <w:pStyle w:val="ListParagraph"/>
        <w:numPr>
          <w:ilvl w:val="0"/>
          <w:numId w:val="2"/>
        </w:numPr>
        <w:spacing w:after="0" w:line="240" w:lineRule="auto"/>
        <w:rPr>
          <w:rFonts w:ascii="Garamond" w:eastAsia="Times New Roman" w:hAnsi="Garamond" w:cs="Times New Roman"/>
          <w:color w:val="000000" w:themeColor="text1"/>
          <w:szCs w:val="24"/>
        </w:rPr>
      </w:pPr>
      <w:r w:rsidRPr="0033374E">
        <w:rPr>
          <w:rFonts w:ascii="Garamond" w:eastAsia="Times New Roman" w:hAnsi="Garamond" w:cs="Times New Roman"/>
          <w:color w:val="000000" w:themeColor="text1"/>
          <w:szCs w:val="24"/>
        </w:rPr>
        <w:t>Persky AM. Mentoring and Developing a Successful Trainee: A Reflection.</w:t>
      </w:r>
      <w:r>
        <w:rPr>
          <w:rFonts w:ascii="Garamond" w:eastAsia="Times New Roman" w:hAnsi="Garamond" w:cs="Times New Roman"/>
          <w:color w:val="000000" w:themeColor="text1"/>
          <w:szCs w:val="24"/>
        </w:rPr>
        <w:t xml:space="preserve"> </w:t>
      </w:r>
      <w:r w:rsidRPr="0033374E">
        <w:rPr>
          <w:rFonts w:ascii="Garamond" w:eastAsia="Times New Roman" w:hAnsi="Garamond" w:cs="Times New Roman"/>
          <w:color w:val="000000" w:themeColor="text1"/>
          <w:szCs w:val="24"/>
        </w:rPr>
        <w:t>Am J Pharm Educ. 2016 May 25;80(4):55.</w:t>
      </w:r>
    </w:p>
    <w:p w:rsidR="0033374E" w:rsidRPr="0033374E" w:rsidRDefault="0033374E" w:rsidP="003A282E">
      <w:pPr>
        <w:pStyle w:val="ListParagraph"/>
        <w:numPr>
          <w:ilvl w:val="0"/>
          <w:numId w:val="2"/>
        </w:numPr>
        <w:spacing w:after="0" w:line="240" w:lineRule="auto"/>
        <w:rPr>
          <w:rFonts w:ascii="Garamond" w:eastAsia="Times New Roman" w:hAnsi="Garamond" w:cs="Times New Roman"/>
          <w:color w:val="000000" w:themeColor="text1"/>
          <w:szCs w:val="24"/>
        </w:rPr>
      </w:pPr>
      <w:r w:rsidRPr="0033374E">
        <w:rPr>
          <w:rFonts w:ascii="Garamond" w:eastAsia="Times New Roman" w:hAnsi="Garamond" w:cs="Times New Roman"/>
          <w:color w:val="000000" w:themeColor="text1"/>
          <w:szCs w:val="24"/>
        </w:rPr>
        <w:t>Persky AM, Romanelli F. Insights, Pearls, and Guidance on Successfully Producing and Publishing Educational Research.</w:t>
      </w:r>
      <w:r>
        <w:rPr>
          <w:rFonts w:ascii="Garamond" w:eastAsia="Times New Roman" w:hAnsi="Garamond" w:cs="Times New Roman"/>
          <w:color w:val="000000" w:themeColor="text1"/>
          <w:szCs w:val="24"/>
        </w:rPr>
        <w:t xml:space="preserve"> </w:t>
      </w:r>
      <w:r w:rsidRPr="0033374E">
        <w:rPr>
          <w:rFonts w:ascii="Garamond" w:eastAsia="Times New Roman" w:hAnsi="Garamond" w:cs="Times New Roman"/>
          <w:color w:val="000000" w:themeColor="text1"/>
          <w:szCs w:val="24"/>
        </w:rPr>
        <w:t>Am J Pharm Educ. 2016 Jun 25;80(5):75.</w:t>
      </w:r>
    </w:p>
    <w:p w:rsidR="0033374E" w:rsidRPr="0033374E" w:rsidRDefault="0033374E" w:rsidP="000E3771">
      <w:pPr>
        <w:pStyle w:val="ListParagraph"/>
        <w:numPr>
          <w:ilvl w:val="0"/>
          <w:numId w:val="2"/>
        </w:numPr>
        <w:spacing w:after="0" w:line="240" w:lineRule="auto"/>
        <w:rPr>
          <w:rFonts w:ascii="Garamond" w:eastAsia="Times New Roman" w:hAnsi="Garamond" w:cs="Times New Roman"/>
          <w:color w:val="000000" w:themeColor="text1"/>
          <w:szCs w:val="24"/>
        </w:rPr>
      </w:pPr>
      <w:r w:rsidRPr="0033374E">
        <w:rPr>
          <w:rFonts w:ascii="Garamond" w:eastAsia="Times New Roman" w:hAnsi="Garamond" w:cs="Times New Roman"/>
          <w:color w:val="000000" w:themeColor="text1"/>
          <w:szCs w:val="24"/>
        </w:rPr>
        <w:t>Pinelli NR, Eckel SF, Vu MB, Weinberger M, Roth MT. The layered learning practice model: Lessons learned from implementation.</w:t>
      </w:r>
      <w:r>
        <w:rPr>
          <w:rFonts w:ascii="Garamond" w:eastAsia="Times New Roman" w:hAnsi="Garamond" w:cs="Times New Roman"/>
          <w:color w:val="000000" w:themeColor="text1"/>
          <w:szCs w:val="24"/>
        </w:rPr>
        <w:t xml:space="preserve"> </w:t>
      </w:r>
      <w:r w:rsidRPr="0033374E">
        <w:rPr>
          <w:rFonts w:ascii="Garamond" w:eastAsia="Times New Roman" w:hAnsi="Garamond" w:cs="Times New Roman"/>
          <w:color w:val="000000" w:themeColor="text1"/>
          <w:szCs w:val="24"/>
        </w:rPr>
        <w:t>Am J Health Syst Pharm. 2016</w:t>
      </w:r>
      <w:r>
        <w:rPr>
          <w:rFonts w:ascii="Garamond" w:eastAsia="Times New Roman" w:hAnsi="Garamond" w:cs="Times New Roman"/>
          <w:color w:val="000000" w:themeColor="text1"/>
          <w:szCs w:val="24"/>
        </w:rPr>
        <w:t xml:space="preserve">. </w:t>
      </w:r>
      <w:r>
        <w:t>15;73(24):2077-2082.</w:t>
      </w:r>
    </w:p>
    <w:p w:rsidR="009A243A" w:rsidRPr="009A243A" w:rsidRDefault="009A243A" w:rsidP="0000313F">
      <w:pPr>
        <w:pStyle w:val="ListParagraph"/>
        <w:numPr>
          <w:ilvl w:val="0"/>
          <w:numId w:val="2"/>
        </w:numPr>
        <w:spacing w:after="0" w:line="240" w:lineRule="auto"/>
        <w:rPr>
          <w:rFonts w:ascii="Garamond" w:eastAsia="Times New Roman" w:hAnsi="Garamond" w:cs="Times New Roman"/>
          <w:color w:val="000000" w:themeColor="text1"/>
          <w:szCs w:val="24"/>
        </w:rPr>
      </w:pPr>
      <w:r w:rsidRPr="009A243A">
        <w:rPr>
          <w:rFonts w:ascii="Garamond" w:eastAsia="Times New Roman" w:hAnsi="Garamond" w:cs="Times New Roman"/>
          <w:color w:val="000000" w:themeColor="text1"/>
          <w:szCs w:val="24"/>
        </w:rPr>
        <w:t>Pinelli NR, McLaughlin JE, Chen SL, Luter DN, Arnall J, Smith S, Roth MT, Rodgers PT, Williams DM, Amerine LB. Improved Organizational Outcomes Associated With Incorporation of Early Clinical Experiences for Second-Year Student Pharmacists at an Academic Medical Center.</w:t>
      </w:r>
      <w:r>
        <w:rPr>
          <w:rFonts w:ascii="Garamond" w:eastAsia="Times New Roman" w:hAnsi="Garamond" w:cs="Times New Roman"/>
          <w:color w:val="000000" w:themeColor="text1"/>
          <w:szCs w:val="24"/>
        </w:rPr>
        <w:t xml:space="preserve"> </w:t>
      </w:r>
      <w:r w:rsidRPr="009A243A">
        <w:rPr>
          <w:rFonts w:ascii="Garamond" w:eastAsia="Times New Roman" w:hAnsi="Garamond" w:cs="Times New Roman"/>
          <w:color w:val="000000" w:themeColor="text1"/>
          <w:szCs w:val="24"/>
        </w:rPr>
        <w:t>J Pharm Pract. 2017 Feb;30(1):99-108.</w:t>
      </w:r>
    </w:p>
    <w:p w:rsidR="007E2163" w:rsidRPr="00E3255B" w:rsidRDefault="007E2163" w:rsidP="007E2163">
      <w:pPr>
        <w:pStyle w:val="ListParagraph"/>
        <w:numPr>
          <w:ilvl w:val="0"/>
          <w:numId w:val="2"/>
        </w:numPr>
        <w:spacing w:after="0" w:line="240" w:lineRule="auto"/>
        <w:rPr>
          <w:rFonts w:ascii="Garamond" w:eastAsia="Times New Roman" w:hAnsi="Garamond" w:cs="Times New Roman"/>
          <w:color w:val="000000" w:themeColor="text1"/>
          <w:szCs w:val="24"/>
        </w:rPr>
      </w:pPr>
      <w:r w:rsidRPr="00E3255B">
        <w:rPr>
          <w:rFonts w:ascii="Garamond" w:eastAsia="Times New Roman" w:hAnsi="Garamond" w:cs="Arial"/>
          <w:color w:val="000000" w:themeColor="text1"/>
          <w:szCs w:val="24"/>
          <w:shd w:val="clear" w:color="auto" w:fill="FFFFFF"/>
        </w:rPr>
        <w:t>Pinelli, N. R., Sikora, A. N., Witherspoon, L. A., Rao, K. V., &amp; Rhoney, D. H. (2016). Impact of pharmacy residency research training on residents’ actual versus perceived ability and interest to identify and solve practice-related problems. </w:t>
      </w:r>
      <w:r w:rsidRPr="00E3255B">
        <w:rPr>
          <w:rFonts w:ascii="Garamond" w:eastAsia="Times New Roman" w:hAnsi="Garamond" w:cs="Arial"/>
          <w:i/>
          <w:iCs/>
          <w:color w:val="000000" w:themeColor="text1"/>
          <w:szCs w:val="24"/>
        </w:rPr>
        <w:t>Journal of pharmacy practice</w:t>
      </w:r>
      <w:r w:rsidRPr="00E3255B">
        <w:rPr>
          <w:rFonts w:ascii="Garamond" w:eastAsia="Times New Roman" w:hAnsi="Garamond" w:cs="Arial"/>
          <w:color w:val="000000" w:themeColor="text1"/>
          <w:szCs w:val="24"/>
          <w:shd w:val="clear" w:color="auto" w:fill="FFFFFF"/>
        </w:rPr>
        <w:t>, </w:t>
      </w:r>
      <w:r w:rsidRPr="00E3255B">
        <w:rPr>
          <w:rFonts w:ascii="Garamond" w:eastAsia="Times New Roman" w:hAnsi="Garamond" w:cs="Arial"/>
          <w:i/>
          <w:iCs/>
          <w:color w:val="000000" w:themeColor="text1"/>
          <w:szCs w:val="24"/>
        </w:rPr>
        <w:t>29</w:t>
      </w:r>
      <w:r w:rsidRPr="00E3255B">
        <w:rPr>
          <w:rFonts w:ascii="Garamond" w:eastAsia="Times New Roman" w:hAnsi="Garamond" w:cs="Arial"/>
          <w:color w:val="000000" w:themeColor="text1"/>
          <w:szCs w:val="24"/>
          <w:shd w:val="clear" w:color="auto" w:fill="FFFFFF"/>
        </w:rPr>
        <w:t>(4), 421-426.</w:t>
      </w:r>
    </w:p>
    <w:p w:rsidR="0033374E" w:rsidRPr="0033374E" w:rsidRDefault="0033374E" w:rsidP="005B2B4D">
      <w:pPr>
        <w:pStyle w:val="ListParagraph"/>
        <w:numPr>
          <w:ilvl w:val="0"/>
          <w:numId w:val="2"/>
        </w:numPr>
        <w:spacing w:after="0" w:line="240" w:lineRule="auto"/>
        <w:rPr>
          <w:rFonts w:ascii="Garamond" w:eastAsia="Times New Roman" w:hAnsi="Garamond" w:cs="Times New Roman"/>
          <w:color w:val="000000" w:themeColor="text1"/>
          <w:szCs w:val="24"/>
        </w:rPr>
      </w:pPr>
      <w:r w:rsidRPr="0033374E">
        <w:rPr>
          <w:rFonts w:ascii="Garamond" w:eastAsia="Times New Roman" w:hAnsi="Garamond" w:cs="Times New Roman"/>
          <w:color w:val="000000" w:themeColor="text1"/>
          <w:szCs w:val="24"/>
        </w:rPr>
        <w:t>Robinson DC, Easton MR, Ginsburg DB, Marciniak M, Sweeny MA, Lang WG. Demystifying Advocacy: Moving Faculty and Students Toward Citizen Engagement: Report of the 2015-2016 AACP Standing Committee on Advocacy.</w:t>
      </w:r>
      <w:r>
        <w:rPr>
          <w:rFonts w:ascii="Garamond" w:eastAsia="Times New Roman" w:hAnsi="Garamond" w:cs="Times New Roman"/>
          <w:color w:val="000000" w:themeColor="text1"/>
          <w:szCs w:val="24"/>
        </w:rPr>
        <w:t xml:space="preserve"> </w:t>
      </w:r>
      <w:r w:rsidRPr="0033374E">
        <w:rPr>
          <w:rFonts w:ascii="Garamond" w:eastAsia="Times New Roman" w:hAnsi="Garamond" w:cs="Times New Roman"/>
          <w:color w:val="000000" w:themeColor="text1"/>
          <w:szCs w:val="24"/>
        </w:rPr>
        <w:t>Am J Pharm Educ. 2016 Nov 25;80(9):S17.</w:t>
      </w:r>
    </w:p>
    <w:p w:rsidR="007E2163" w:rsidRPr="00E3255B" w:rsidRDefault="007E2163" w:rsidP="007E2163">
      <w:pPr>
        <w:pStyle w:val="ListParagraph"/>
        <w:numPr>
          <w:ilvl w:val="0"/>
          <w:numId w:val="2"/>
        </w:numPr>
        <w:spacing w:after="0" w:line="240" w:lineRule="auto"/>
        <w:rPr>
          <w:rFonts w:ascii="Garamond" w:eastAsia="Times New Roman" w:hAnsi="Garamond" w:cs="Times New Roman"/>
          <w:color w:val="000000" w:themeColor="text1"/>
          <w:szCs w:val="24"/>
        </w:rPr>
      </w:pPr>
      <w:r w:rsidRPr="00E3255B">
        <w:rPr>
          <w:rFonts w:ascii="Garamond" w:eastAsia="Times New Roman" w:hAnsi="Garamond" w:cs="Arial"/>
          <w:color w:val="000000" w:themeColor="text1"/>
          <w:szCs w:val="24"/>
          <w:shd w:val="clear" w:color="auto" w:fill="FFFFFF"/>
        </w:rPr>
        <w:t>Sanders KA*, Wolcott MD*, McLaughlin JE, Shea CM, D’Ostroph AR, Pinelli NR. Organizational readiness for early immersion of student pharmacists in health-system practice. Am J Pharm Educ. 2016;80(5):Article S2.</w:t>
      </w:r>
    </w:p>
    <w:p w:rsidR="007E2163" w:rsidRPr="00E3255B" w:rsidRDefault="007E2163" w:rsidP="007E2163">
      <w:pPr>
        <w:pStyle w:val="ListParagraph"/>
        <w:numPr>
          <w:ilvl w:val="0"/>
          <w:numId w:val="2"/>
        </w:numPr>
        <w:spacing w:after="0" w:line="240" w:lineRule="auto"/>
        <w:rPr>
          <w:rFonts w:ascii="Garamond" w:eastAsia="Times New Roman" w:hAnsi="Garamond" w:cs="Times New Roman"/>
          <w:color w:val="000000" w:themeColor="text1"/>
          <w:szCs w:val="24"/>
        </w:rPr>
      </w:pPr>
      <w:r w:rsidRPr="00E3255B">
        <w:rPr>
          <w:rFonts w:ascii="Garamond" w:eastAsia="Times New Roman" w:hAnsi="Garamond" w:cs="Arial"/>
          <w:color w:val="000000" w:themeColor="text1"/>
          <w:szCs w:val="24"/>
          <w:shd w:val="clear" w:color="auto" w:fill="FFFFFF"/>
        </w:rPr>
        <w:t>Scott, M. A., McLaughlin, J., Shepherd, G., Williams, C., Zeeman, J., &amp; Joyner, P. (2016). Professional organizations for pharmacy students on satellite campuses. </w:t>
      </w:r>
      <w:r w:rsidRPr="00E3255B">
        <w:rPr>
          <w:rFonts w:ascii="Garamond" w:eastAsia="Times New Roman" w:hAnsi="Garamond" w:cs="Arial"/>
          <w:i/>
          <w:iCs/>
          <w:color w:val="000000" w:themeColor="text1"/>
          <w:szCs w:val="24"/>
        </w:rPr>
        <w:t>American Journal of Pharmaceutical Education</w:t>
      </w:r>
      <w:r w:rsidRPr="00E3255B">
        <w:rPr>
          <w:rFonts w:ascii="Garamond" w:eastAsia="Times New Roman" w:hAnsi="Garamond" w:cs="Arial"/>
          <w:color w:val="000000" w:themeColor="text1"/>
          <w:szCs w:val="24"/>
          <w:shd w:val="clear" w:color="auto" w:fill="FFFFFF"/>
        </w:rPr>
        <w:t>, </w:t>
      </w:r>
      <w:r w:rsidRPr="00E3255B">
        <w:rPr>
          <w:rFonts w:ascii="Garamond" w:eastAsia="Times New Roman" w:hAnsi="Garamond" w:cs="Arial"/>
          <w:i/>
          <w:iCs/>
          <w:color w:val="000000" w:themeColor="text1"/>
          <w:szCs w:val="24"/>
        </w:rPr>
        <w:t>80</w:t>
      </w:r>
      <w:r w:rsidRPr="00E3255B">
        <w:rPr>
          <w:rFonts w:ascii="Garamond" w:eastAsia="Times New Roman" w:hAnsi="Garamond" w:cs="Arial"/>
          <w:color w:val="000000" w:themeColor="text1"/>
          <w:szCs w:val="24"/>
          <w:shd w:val="clear" w:color="auto" w:fill="FFFFFF"/>
        </w:rPr>
        <w:t>(5), 78.</w:t>
      </w:r>
    </w:p>
    <w:p w:rsidR="007E2163" w:rsidRPr="0033374E" w:rsidRDefault="007E2163" w:rsidP="007E2163">
      <w:pPr>
        <w:pStyle w:val="ListParagraph"/>
        <w:numPr>
          <w:ilvl w:val="0"/>
          <w:numId w:val="2"/>
        </w:numPr>
        <w:spacing w:after="0" w:line="240" w:lineRule="auto"/>
        <w:rPr>
          <w:rFonts w:ascii="Garamond" w:eastAsia="Times New Roman" w:hAnsi="Garamond" w:cs="Times New Roman"/>
          <w:color w:val="000000" w:themeColor="text1"/>
          <w:szCs w:val="24"/>
        </w:rPr>
      </w:pPr>
      <w:r w:rsidRPr="00E3255B">
        <w:rPr>
          <w:rFonts w:ascii="Garamond" w:eastAsia="Times New Roman" w:hAnsi="Garamond" w:cs="Arial"/>
          <w:color w:val="000000" w:themeColor="text1"/>
          <w:szCs w:val="24"/>
          <w:shd w:val="clear" w:color="auto" w:fill="FFFFFF"/>
        </w:rPr>
        <w:t>Singer D, McLaughlin JE, Cox WC. The Multiple Mini-Interview as an Admission Tool for a PharmD Program Satellite Campus. </w:t>
      </w:r>
      <w:r w:rsidRPr="00E3255B">
        <w:rPr>
          <w:rFonts w:ascii="Garamond" w:eastAsia="Times New Roman" w:hAnsi="Garamond" w:cs="Arial"/>
          <w:i/>
          <w:iCs/>
          <w:color w:val="000000" w:themeColor="text1"/>
          <w:szCs w:val="24"/>
        </w:rPr>
        <w:t>American Journal of Pharmaceutical Education</w:t>
      </w:r>
      <w:r w:rsidRPr="00E3255B">
        <w:rPr>
          <w:rFonts w:ascii="Garamond" w:eastAsia="Times New Roman" w:hAnsi="Garamond" w:cs="Arial"/>
          <w:color w:val="000000" w:themeColor="text1"/>
          <w:szCs w:val="24"/>
          <w:shd w:val="clear" w:color="auto" w:fill="FFFFFF"/>
        </w:rPr>
        <w:t>. 2016;80(7):121. doi:10.5688/ajpe807121.</w:t>
      </w:r>
    </w:p>
    <w:p w:rsidR="00B6187C" w:rsidRPr="00B6187C" w:rsidRDefault="00B6187C" w:rsidP="00361FD3">
      <w:pPr>
        <w:pStyle w:val="ListParagraph"/>
        <w:numPr>
          <w:ilvl w:val="0"/>
          <w:numId w:val="2"/>
        </w:numPr>
        <w:spacing w:after="0" w:line="240" w:lineRule="auto"/>
        <w:rPr>
          <w:rFonts w:ascii="Garamond" w:eastAsia="Times New Roman" w:hAnsi="Garamond" w:cs="Times New Roman"/>
          <w:color w:val="000000" w:themeColor="text1"/>
          <w:szCs w:val="24"/>
        </w:rPr>
      </w:pPr>
      <w:r w:rsidRPr="00B6187C">
        <w:rPr>
          <w:rFonts w:ascii="Garamond" w:eastAsia="Times New Roman" w:hAnsi="Garamond" w:cs="Times New Roman"/>
          <w:color w:val="000000" w:themeColor="text1"/>
          <w:szCs w:val="24"/>
        </w:rPr>
        <w:t>Snyder ME, Frail CK, Gernant SA, Bacci JL, Coley KC, Colip LM, Ferreri SP, Hagemeier NE, McGivney MS, Rodis JL, Smith MG, Smith RB. Fellowships in community pharmacy research: Experiences of five schools and colleges of pharmacy.</w:t>
      </w:r>
      <w:r>
        <w:rPr>
          <w:rFonts w:ascii="Garamond" w:eastAsia="Times New Roman" w:hAnsi="Garamond" w:cs="Times New Roman"/>
          <w:color w:val="000000" w:themeColor="text1"/>
          <w:szCs w:val="24"/>
        </w:rPr>
        <w:t xml:space="preserve"> </w:t>
      </w:r>
      <w:r w:rsidRPr="00B6187C">
        <w:rPr>
          <w:rFonts w:ascii="Garamond" w:eastAsia="Times New Roman" w:hAnsi="Garamond" w:cs="Times New Roman"/>
          <w:color w:val="000000" w:themeColor="text1"/>
          <w:szCs w:val="24"/>
        </w:rPr>
        <w:t>J Am Pharm Assoc (2003). 2016 May-Jun;56(3):316-22.</w:t>
      </w:r>
    </w:p>
    <w:p w:rsidR="00B6187C" w:rsidRPr="00B6187C" w:rsidRDefault="00B6187C" w:rsidP="00C94063">
      <w:pPr>
        <w:pStyle w:val="ListParagraph"/>
        <w:numPr>
          <w:ilvl w:val="0"/>
          <w:numId w:val="2"/>
        </w:numPr>
        <w:spacing w:after="0" w:line="240" w:lineRule="auto"/>
        <w:rPr>
          <w:rFonts w:ascii="Garamond" w:eastAsia="Times New Roman" w:hAnsi="Garamond" w:cs="Times New Roman"/>
          <w:color w:val="000000" w:themeColor="text1"/>
          <w:szCs w:val="24"/>
        </w:rPr>
      </w:pPr>
      <w:r w:rsidRPr="00B6187C">
        <w:rPr>
          <w:rFonts w:ascii="Garamond" w:eastAsia="Times New Roman" w:hAnsi="Garamond" w:cs="Times New Roman"/>
          <w:color w:val="000000" w:themeColor="text1"/>
          <w:szCs w:val="24"/>
        </w:rPr>
        <w:t>Steeb DR, Overman RA, Sleath BL, Joyner PU. Global Experiential and Didactic Education Opportunities at US Colleges and Schools of Pharmacy.</w:t>
      </w:r>
      <w:r>
        <w:rPr>
          <w:rFonts w:ascii="Garamond" w:eastAsia="Times New Roman" w:hAnsi="Garamond" w:cs="Times New Roman"/>
          <w:color w:val="000000" w:themeColor="text1"/>
          <w:szCs w:val="24"/>
        </w:rPr>
        <w:t xml:space="preserve"> </w:t>
      </w:r>
      <w:r w:rsidRPr="00B6187C">
        <w:rPr>
          <w:rFonts w:ascii="Garamond" w:eastAsia="Times New Roman" w:hAnsi="Garamond" w:cs="Times New Roman"/>
          <w:color w:val="000000" w:themeColor="text1"/>
          <w:szCs w:val="24"/>
        </w:rPr>
        <w:t>Am J Pharm Educ. 2016 Feb 25;80(1):7.</w:t>
      </w:r>
    </w:p>
    <w:p w:rsidR="00B6187C" w:rsidRPr="00B6187C" w:rsidRDefault="00B6187C" w:rsidP="0021635D">
      <w:pPr>
        <w:pStyle w:val="ListParagraph"/>
        <w:numPr>
          <w:ilvl w:val="0"/>
          <w:numId w:val="2"/>
        </w:numPr>
        <w:spacing w:after="0" w:line="240" w:lineRule="auto"/>
        <w:rPr>
          <w:rFonts w:ascii="Garamond" w:eastAsia="Times New Roman" w:hAnsi="Garamond" w:cs="Times New Roman"/>
          <w:color w:val="000000" w:themeColor="text1"/>
          <w:szCs w:val="24"/>
        </w:rPr>
      </w:pPr>
      <w:r w:rsidRPr="00B6187C">
        <w:rPr>
          <w:rFonts w:ascii="Garamond" w:eastAsia="Times New Roman" w:hAnsi="Garamond" w:cs="Times New Roman"/>
          <w:color w:val="000000" w:themeColor="text1"/>
          <w:szCs w:val="24"/>
        </w:rPr>
        <w:t>Taylor SR, DeGeeter M, Wilson JA, Leadon KI, Rodgers PT. Preceptor perceptions of fourth year student pharmacists' abilities regarding patient counseling on t</w:t>
      </w:r>
      <w:r>
        <w:rPr>
          <w:rFonts w:ascii="Garamond" w:eastAsia="Times New Roman" w:hAnsi="Garamond" w:cs="Times New Roman"/>
          <w:color w:val="000000" w:themeColor="text1"/>
          <w:szCs w:val="24"/>
        </w:rPr>
        <w:t>h</w:t>
      </w:r>
      <w:r w:rsidRPr="00B6187C">
        <w:rPr>
          <w:rFonts w:ascii="Garamond" w:eastAsia="Times New Roman" w:hAnsi="Garamond" w:cs="Times New Roman"/>
          <w:color w:val="000000" w:themeColor="text1"/>
          <w:szCs w:val="24"/>
        </w:rPr>
        <w:t>erapeutic lifestyle changes.</w:t>
      </w:r>
      <w:r>
        <w:rPr>
          <w:rFonts w:ascii="Garamond" w:eastAsia="Times New Roman" w:hAnsi="Garamond" w:cs="Times New Roman"/>
          <w:color w:val="000000" w:themeColor="text1"/>
          <w:szCs w:val="24"/>
        </w:rPr>
        <w:t xml:space="preserve"> </w:t>
      </w:r>
      <w:r w:rsidRPr="00B6187C">
        <w:rPr>
          <w:rFonts w:ascii="Garamond" w:eastAsia="Times New Roman" w:hAnsi="Garamond" w:cs="Times New Roman"/>
          <w:color w:val="000000" w:themeColor="text1"/>
          <w:szCs w:val="24"/>
        </w:rPr>
        <w:t>Curr Pharm Teach Learn. 2016 May - Jun;8(3):353-358.</w:t>
      </w:r>
    </w:p>
    <w:p w:rsidR="0033374E" w:rsidRPr="0033374E" w:rsidRDefault="0033374E" w:rsidP="00011EEC">
      <w:pPr>
        <w:pStyle w:val="ListParagraph"/>
        <w:numPr>
          <w:ilvl w:val="0"/>
          <w:numId w:val="2"/>
        </w:numPr>
        <w:spacing w:after="0" w:line="240" w:lineRule="auto"/>
        <w:rPr>
          <w:rFonts w:ascii="Garamond" w:eastAsia="Times New Roman" w:hAnsi="Garamond" w:cs="Times New Roman"/>
          <w:color w:val="000000" w:themeColor="text1"/>
          <w:szCs w:val="24"/>
        </w:rPr>
      </w:pPr>
      <w:r w:rsidRPr="0033374E">
        <w:rPr>
          <w:rFonts w:ascii="Garamond" w:eastAsia="Times New Roman" w:hAnsi="Garamond" w:cs="Times New Roman"/>
          <w:color w:val="000000" w:themeColor="text1"/>
          <w:szCs w:val="24"/>
        </w:rPr>
        <w:t>White C, Adams J. AACP Special Taskforce on Diversifying Our Investment in Human Capital Interim Update.</w:t>
      </w:r>
      <w:r>
        <w:rPr>
          <w:rFonts w:ascii="Garamond" w:eastAsia="Times New Roman" w:hAnsi="Garamond" w:cs="Times New Roman"/>
          <w:color w:val="000000" w:themeColor="text1"/>
          <w:szCs w:val="24"/>
        </w:rPr>
        <w:t xml:space="preserve"> </w:t>
      </w:r>
      <w:r w:rsidRPr="0033374E">
        <w:rPr>
          <w:rFonts w:ascii="Garamond" w:eastAsia="Times New Roman" w:hAnsi="Garamond" w:cs="Times New Roman"/>
          <w:color w:val="000000" w:themeColor="text1"/>
          <w:szCs w:val="24"/>
        </w:rPr>
        <w:t>Am J Pharm Educ. 2016 Sep 25;80(7):S6.</w:t>
      </w:r>
    </w:p>
    <w:p w:rsidR="00BB79E3" w:rsidRDefault="00BB79E3" w:rsidP="00AC11F4">
      <w:pPr>
        <w:tabs>
          <w:tab w:val="left" w:pos="360"/>
        </w:tabs>
        <w:spacing w:after="0" w:line="240" w:lineRule="auto"/>
        <w:jc w:val="both"/>
        <w:rPr>
          <w:rFonts w:ascii="Garamond" w:eastAsia="Times New Roman" w:hAnsi="Garamond" w:cs="Times New Roman"/>
          <w:b/>
        </w:rPr>
      </w:pPr>
    </w:p>
    <w:p w:rsidR="00220F5C" w:rsidRDefault="00220F5C" w:rsidP="00AC11F4">
      <w:pPr>
        <w:tabs>
          <w:tab w:val="left" w:pos="360"/>
        </w:tabs>
        <w:spacing w:after="0" w:line="240" w:lineRule="auto"/>
        <w:jc w:val="both"/>
        <w:rPr>
          <w:rFonts w:ascii="Garamond" w:eastAsia="Times New Roman" w:hAnsi="Garamond" w:cs="Times New Roman"/>
          <w:b/>
        </w:rPr>
      </w:pPr>
      <w:r w:rsidRPr="00E06FF0">
        <w:rPr>
          <w:rFonts w:ascii="Garamond" w:eastAsia="Times New Roman" w:hAnsi="Garamond" w:cs="Times New Roman"/>
          <w:b/>
        </w:rPr>
        <w:t>2015 (</w:t>
      </w:r>
      <w:r w:rsidR="004A4ADF" w:rsidRPr="00E06FF0">
        <w:rPr>
          <w:rFonts w:ascii="Garamond" w:eastAsia="Times New Roman" w:hAnsi="Garamond" w:cs="Times New Roman"/>
          <w:b/>
        </w:rPr>
        <w:t>27 articles)</w:t>
      </w:r>
      <w:r w:rsidR="00E06FF0" w:rsidRPr="00E06FF0">
        <w:rPr>
          <w:rFonts w:ascii="Garamond" w:eastAsia="Times New Roman" w:hAnsi="Garamond" w:cs="Times New Roman"/>
          <w:b/>
        </w:rPr>
        <w:t>:</w:t>
      </w:r>
    </w:p>
    <w:p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Bates, J., Buie, L.W., Lyons, K., Rao, K., Pinelli, N., McLaughlin, J.E., et al. (in press). Active learning strategies used in a layered hematology/oncology experiential model. American Journal of Pharmaceutical Education.</w:t>
      </w:r>
    </w:p>
    <w:p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Bradley, C.L., Khanova, J., &amp; Scolaro K.L. (in press) Evaluation of a teaching assistant program for third-year pharmacy students.  American journal of pharmaceutical education.</w:t>
      </w:r>
    </w:p>
    <w:p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Cox, W. C., McLaughlin, J. E., Singer, D., Lewis, M., &amp; Dinkins, M. M. (2015). Development and Assessment of the Multiple Mini-Interview in a School of Pharmacy Admissions Model. American journal of pharmaceutical education, 79(4).</w:t>
      </w:r>
    </w:p>
    <w:p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Cox, W. C., Wingo, B., &amp; Todd, A. J. (2015). How we transitioned to a comprehensive professional and graduate student affairs office. Medical teacher, 37(5), 417-421.</w:t>
      </w:r>
    </w:p>
    <w:p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Decker, S. I., Anderson, M., Boese, T., Epps, C., McCarthy, J., Motola, I., ... &amp; Scolaro, K. (2015). Standards of Best Practice: Simulation Standard VIII: Simulation-Enhanced Interprofessional Education (Sim-IPE). Clinical Simulation in Nursing, 11(6), 293-297.</w:t>
      </w:r>
    </w:p>
    <w:p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Hillman, A., Kennedy, L., Garris, S., McLaughlin, J. E., &amp; Rhoney, D. H. (2015). Stigmatizing beliefs: How leading patient medication education groups on an inpatient psychiatric unit impacts pharmacy learners. The Mental Health Clinician, 5(4), 162-168.</w:t>
      </w:r>
    </w:p>
    <w:p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Howard, M., &amp; Persky, A. M. (2015). Helpful Tips for New Users of Active Learning. American journal of pharmaceutical education, 79(4).</w:t>
      </w:r>
    </w:p>
    <w:p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Khanova, J., McLaughlin, J.E., Rhoney, D.H., Roth, M.T., &amp; Harris S.C. (in press) Student Perceptions of a flipped pharmacotherapy course: Lessons learned and design considerations. American journal of pharmaceutical education</w:t>
      </w:r>
    </w:p>
    <w:p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Khanova, J., Roth, M.T., Rodgers, J.E., &amp; McLaughlin, J.E. (2015). Student experiences across multiple flipped courses in a single curriculum.  Medical Education 49(10), 1038-1048</w:t>
      </w:r>
    </w:p>
    <w:p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McLaughlin, J. E., Gharkholonarehe, N., Khanova, J., Deyo, Z. M., &amp; Rodgers, J. E. (2015). The Impact of Blended Learning on Student Performance in a Cardiovascular Pharmacotherapy Course. American journal of pharmaceutical education, 79(2).</w:t>
      </w:r>
    </w:p>
    <w:p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McLaughlin, J.E., Khanova J., Scolaro K., Rodgers P., &amp; Cox W. (2015) Limited predictive utility of admissions scores and objective structured clinical examinations for APPE performance. American journal of pharmaceutical education. 79(6)</w:t>
      </w:r>
    </w:p>
    <w:p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 xml:space="preserve">McLaughlin, J.E., McLaughlin, G.W., and McLaughlin, J.S. (2015). Using composite metrics to measure student diversity in higher education institutions. Journal of Higher Education Management and Policy, 37(2), 222-240. </w:t>
      </w:r>
    </w:p>
    <w:p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McLaughlin, J.E., McLaughlin, G.W., McLaughlin, J.S., and White, C.Y. (in press). Using Simpson’s Diversity Index to examine multidimensional models of diversity in health professions education. International Journal of Medical Education.</w:t>
      </w:r>
    </w:p>
    <w:p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McLaughlin, J.E., Poppe, L.B., Chen, S., Luter, D.N., Arnall, J., et al. (in press). Early clinical immersion experiences for second year student pharmacists at an academic medical center. American Journal of Pharmaceutical Education.</w:t>
      </w:r>
    </w:p>
    <w:p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McLaughlin, J. E., &amp; Rhoney, D. H. (2015). Comparison of an interactive e-learning preparatory tool and a conventional downloadable handout used within a flipped neurologic pharmacotherapy lecture. Currents in Pharmacy Teaching and Learning, 7(1), 12-19.</w:t>
      </w:r>
    </w:p>
    <w:p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McLaughlin, J. E., Sloane, A., Billings, E., &amp; Roth, M. T. (2015). Establishing a School</w:t>
      </w:r>
      <w:r w:rsidRPr="00E06FF0">
        <w:rPr>
          <w:rFonts w:ascii="Times New Roman" w:hAnsi="Times New Roman" w:cs="Times New Roman"/>
          <w:color w:val="222222"/>
          <w:shd w:val="clear" w:color="auto" w:fill="FFFFFF"/>
        </w:rPr>
        <w:t>‐</w:t>
      </w:r>
      <w:r w:rsidRPr="00E06FF0">
        <w:rPr>
          <w:rFonts w:ascii="Garamond" w:hAnsi="Garamond" w:cs="Arial"/>
          <w:color w:val="222222"/>
          <w:shd w:val="clear" w:color="auto" w:fill="FFFFFF"/>
        </w:rPr>
        <w:t>Wide Systematic Closed</w:t>
      </w:r>
      <w:r w:rsidRPr="00E06FF0">
        <w:rPr>
          <w:rFonts w:ascii="Times New Roman" w:hAnsi="Times New Roman" w:cs="Times New Roman"/>
          <w:color w:val="222222"/>
          <w:shd w:val="clear" w:color="auto" w:fill="FFFFFF"/>
        </w:rPr>
        <w:t>‐</w:t>
      </w:r>
      <w:r w:rsidRPr="00E06FF0">
        <w:rPr>
          <w:rFonts w:ascii="Garamond" w:hAnsi="Garamond" w:cs="Arial"/>
          <w:color w:val="222222"/>
          <w:shd w:val="clear" w:color="auto" w:fill="FFFFFF"/>
        </w:rPr>
        <w:t>Loop Course Evaluation Process to Improve Course and Instructor Effectiveness. Assessment Update, 27(5), 3-13.</w:t>
      </w:r>
    </w:p>
    <w:p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O’Connor, S. K., Soliman, S. R., &amp; Joyner, P. U. Measuring the impact of a national meeting special session: Change in participant perceptions of rural health pharmacy curricula and effects at home institution. Currents in Pharmacy Teaching and Learning,7(4), 546-550</w:t>
      </w:r>
    </w:p>
    <w:p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Persky, A. M. (2015). Qualitative analysis of animation versus reading for pre-class preparation in a “flipped” classroom. J Excel College Teach, 26(1), 5-28.</w:t>
      </w:r>
    </w:p>
    <w:p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 xml:space="preserve">Persky, A. M., Henry, T., &amp; Campbell, A. (2015). An exploratory analysis of personality, attitudes, and study skills on the learning curve within a team-based learning environment. American journal of pharmaceutical education,79(2). </w:t>
      </w:r>
    </w:p>
    <w:p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Persky, A.M. &amp; Hudson, S. (in press). A snapshot of student study strategies across a professional pharmacy curriculum: are students using evidence-based practice? Currents in Pharmacy Teaching and Learning.</w:t>
      </w:r>
    </w:p>
    <w:p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Pinelli, N. R., McLaughlin, J. E., Chen, S. L., Luter, D. N., Arnall, J., Smith, S., ... &amp; Amerine, L. B. (2015). Improved Organizational Outcomes Associated With Incorporation of Early Clinical Experiences for Second-Year Student Pharmacists at an Academic Medical Center. Journal of pharmacy practice, 0897190015585765.</w:t>
      </w:r>
    </w:p>
    <w:p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Pinelli, N. R., Sikora, A. N., Witherspoon, L. A., Rao, K. V., &amp; Rhoney, D. H. (2015). Impact of Pharmacy Residency Research Training on Residents’ Actual Versus Perceived Ability and Interest to Identify and Solve Practice-Related Problems. Journal of pharmacy practice, 0897190014566317.</w:t>
      </w:r>
    </w:p>
    <w:p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Shelly, J. L. &amp; Scolaro, K. L. Utility of a professionalism assessment form activity: A survey of students and teaching assistants. Currents in Pharmacy Teaching and Learning.</w:t>
      </w:r>
    </w:p>
    <w:p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Schlesinger, J., &amp; Persky, A. (2015). Faculty Learning Community. Bloom's Taxonomy in Action. MedEdPORTAL Publications. Available from: https://www.mededportal.org/publication/10031</w:t>
      </w:r>
    </w:p>
    <w:p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Scott, M.A., McLaughlin, J.E., Shepherd, G., Williams, C., Zeeman, J., &amp; Joyner, P. (in press). Professional organizations for pharmacy students on satellite campuses. American Journal of Pharmaceutical Education.</w:t>
      </w:r>
    </w:p>
    <w:p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Williams, C.R., McLaughlin, J.E., Cox, W.C., &amp; Shepherd, G. (in press). Relationship between student pharmacist decision-making preferences and experiential learning. American Journal of Pharmaceutical Education.</w:t>
      </w:r>
    </w:p>
    <w:p w:rsidR="00220F5C" w:rsidRPr="00E06FF0" w:rsidRDefault="00E06FF0" w:rsidP="00BE408E">
      <w:pPr>
        <w:pStyle w:val="ListParagraph"/>
        <w:numPr>
          <w:ilvl w:val="0"/>
          <w:numId w:val="9"/>
        </w:numPr>
        <w:spacing w:after="0" w:line="240" w:lineRule="auto"/>
        <w:rPr>
          <w:rFonts w:ascii="Garamond" w:hAnsi="Garamond"/>
        </w:rPr>
      </w:pPr>
      <w:r w:rsidRPr="00E06FF0">
        <w:rPr>
          <w:rFonts w:ascii="Garamond" w:hAnsi="Garamond" w:cs="Arial"/>
          <w:color w:val="222222"/>
          <w:shd w:val="clear" w:color="auto" w:fill="FFFFFF"/>
        </w:rPr>
        <w:t>Wilson, J. A., Matulewicz, A., Shelly, J., &amp;Scolaro, K.L. (2015). Development of a one-year academic fellowship in a skills lab environment. Currents in Pharmacy Teaching and Learning, 7(3), 411-416.</w:t>
      </w:r>
    </w:p>
    <w:p w:rsidR="00E06FF0" w:rsidRDefault="00E06FF0" w:rsidP="002F7FCE">
      <w:pPr>
        <w:spacing w:after="0" w:line="240" w:lineRule="auto"/>
        <w:rPr>
          <w:rFonts w:ascii="Garamond" w:hAnsi="Garamond"/>
          <w:b/>
        </w:rPr>
      </w:pPr>
    </w:p>
    <w:p w:rsidR="00220F5C" w:rsidRPr="002F7FCE" w:rsidRDefault="00220F5C" w:rsidP="002F7FCE">
      <w:pPr>
        <w:spacing w:after="0" w:line="240" w:lineRule="auto"/>
        <w:rPr>
          <w:rFonts w:ascii="Garamond" w:hAnsi="Garamond"/>
          <w:b/>
        </w:rPr>
      </w:pPr>
      <w:r w:rsidRPr="002F7FCE">
        <w:rPr>
          <w:rFonts w:ascii="Garamond" w:hAnsi="Garamond"/>
          <w:b/>
        </w:rPr>
        <w:t>2014 (22 articles</w:t>
      </w:r>
      <w:r w:rsidR="001E36EB" w:rsidRPr="002F7FCE">
        <w:rPr>
          <w:rFonts w:ascii="Garamond" w:hAnsi="Garamond"/>
          <w:b/>
        </w:rPr>
        <w:t>)</w:t>
      </w:r>
      <w:r w:rsidR="00E2078D" w:rsidRPr="002F7FCE">
        <w:rPr>
          <w:rFonts w:ascii="Garamond" w:hAnsi="Garamond"/>
          <w:b/>
        </w:rPr>
        <w:t>:</w:t>
      </w:r>
    </w:p>
    <w:p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Ambizas EM, Bastianelli KM, Ferreri SP, et al. Evolution of self-care education. </w:t>
      </w:r>
      <w:r w:rsidRPr="002F7FCE">
        <w:rPr>
          <w:rFonts w:ascii="Garamond" w:hAnsi="Garamond"/>
          <w:i/>
          <w:iCs/>
        </w:rPr>
        <w:t>Am J Pharm Educ</w:t>
      </w:r>
      <w:r w:rsidRPr="002F7FCE">
        <w:rPr>
          <w:rFonts w:ascii="Garamond" w:hAnsi="Garamond"/>
        </w:rPr>
        <w:t>. 2014;78(2).</w:t>
      </w:r>
    </w:p>
    <w:p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Arnall J, Johnson P, Lee J, Linder M, Lund N, Satpathy S. Student perspectives on student leadership development programs. </w:t>
      </w:r>
      <w:r w:rsidRPr="002F7FCE">
        <w:rPr>
          <w:rFonts w:ascii="Garamond" w:hAnsi="Garamond"/>
          <w:i/>
          <w:iCs/>
        </w:rPr>
        <w:t>Am J Pharm Educ</w:t>
      </w:r>
      <w:r w:rsidRPr="002F7FCE">
        <w:rPr>
          <w:rFonts w:ascii="Garamond" w:hAnsi="Garamond"/>
        </w:rPr>
        <w:t>. 2014;78(4).</w:t>
      </w:r>
    </w:p>
    <w:p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Battise D, DeValve MJ, Marlowe D, Beasley B, Miller S. Need and desire among pharmacy practitioners for motivational interviewing to be incorporated into pharmacy curricula. </w:t>
      </w:r>
      <w:r w:rsidRPr="002F7FCE">
        <w:rPr>
          <w:rFonts w:ascii="Garamond" w:hAnsi="Garamond"/>
          <w:i/>
          <w:iCs/>
        </w:rPr>
        <w:t>Currents in Pharmacy Teaching and Learning</w:t>
      </w:r>
      <w:r w:rsidRPr="002F7FCE">
        <w:rPr>
          <w:rFonts w:ascii="Garamond" w:hAnsi="Garamond"/>
        </w:rPr>
        <w:t xml:space="preserve">. 2014;6(3):386-392. </w:t>
      </w:r>
    </w:p>
    <w:p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Cox WC, McLaughlin JE. Association of health sciences reasoning test scores with academic and experiential performance. </w:t>
      </w:r>
      <w:r w:rsidRPr="002F7FCE">
        <w:rPr>
          <w:rFonts w:ascii="Garamond" w:hAnsi="Garamond"/>
          <w:i/>
          <w:iCs/>
        </w:rPr>
        <w:t>Am J Pharm Educ</w:t>
      </w:r>
      <w:r w:rsidRPr="002F7FCE">
        <w:rPr>
          <w:rFonts w:ascii="Garamond" w:hAnsi="Garamond"/>
        </w:rPr>
        <w:t>. 2014;78(4).</w:t>
      </w:r>
    </w:p>
    <w:p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Cox WC, Wingo B, Todd AJ. How we transitioned to a comprehensive professional and graduate student affairs office. </w:t>
      </w:r>
      <w:r w:rsidRPr="002F7FCE">
        <w:rPr>
          <w:rFonts w:ascii="Garamond" w:hAnsi="Garamond"/>
          <w:i/>
          <w:iCs/>
        </w:rPr>
        <w:t>Med Teach</w:t>
      </w:r>
      <w:r w:rsidRPr="002F7FCE">
        <w:rPr>
          <w:rFonts w:ascii="Garamond" w:hAnsi="Garamond"/>
        </w:rPr>
        <w:t>. 2014(0):1-5.</w:t>
      </w:r>
    </w:p>
    <w:p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Engle JP, Erstad BL, Anderson DC, et al. Minimum qualifications for clinical pharmacy practice faculty. </w:t>
      </w:r>
      <w:r w:rsidRPr="002F7FCE">
        <w:rPr>
          <w:rFonts w:ascii="Garamond" w:hAnsi="Garamond"/>
          <w:i/>
          <w:iCs/>
        </w:rPr>
        <w:t>Pharmacotherapy: The Journal of Human Pharmacology and Drug Therapy</w:t>
      </w:r>
      <w:r w:rsidRPr="002F7FCE">
        <w:rPr>
          <w:rFonts w:ascii="Garamond" w:hAnsi="Garamond"/>
        </w:rPr>
        <w:t>. 2014;34(5):e38-e44.</w:t>
      </w:r>
    </w:p>
    <w:p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Haines ST, Persky AM. Faculty development: Who, what, why, where, when, and how? </w:t>
      </w:r>
      <w:r w:rsidRPr="002F7FCE">
        <w:rPr>
          <w:rFonts w:ascii="Garamond" w:hAnsi="Garamond"/>
          <w:i/>
          <w:iCs/>
        </w:rPr>
        <w:t>Am J Pharm Educ</w:t>
      </w:r>
      <w:r w:rsidRPr="002F7FCE">
        <w:rPr>
          <w:rFonts w:ascii="Garamond" w:hAnsi="Garamond"/>
        </w:rPr>
        <w:t>. 2014;78(5):97.</w:t>
      </w:r>
    </w:p>
    <w:p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Hedges A, Miller S, Scott M, Persky AM. Current environment of service learning within the school of pharmacy. </w:t>
      </w:r>
      <w:r w:rsidRPr="002F7FCE">
        <w:rPr>
          <w:rFonts w:ascii="Garamond" w:hAnsi="Garamond"/>
          <w:i/>
          <w:iCs/>
        </w:rPr>
        <w:t>Currents in Pharmacy Teaching and Learning</w:t>
      </w:r>
      <w:r w:rsidRPr="002F7FCE">
        <w:rPr>
          <w:rFonts w:ascii="Garamond" w:hAnsi="Garamond"/>
        </w:rPr>
        <w:t>. 2014;6(6):884-890.</w:t>
      </w:r>
    </w:p>
    <w:p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Kohn H. A mentoring program to help junior faculty members achieve scholarship success. </w:t>
      </w:r>
      <w:r w:rsidRPr="002F7FCE">
        <w:rPr>
          <w:rFonts w:ascii="Garamond" w:hAnsi="Garamond"/>
          <w:i/>
          <w:iCs/>
        </w:rPr>
        <w:t>Am J Pharm Educ</w:t>
      </w:r>
      <w:r w:rsidRPr="002F7FCE">
        <w:rPr>
          <w:rFonts w:ascii="Garamond" w:hAnsi="Garamond"/>
        </w:rPr>
        <w:t>. 2014;78(2).</w:t>
      </w:r>
    </w:p>
    <w:p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Lancaster JW, Stein SM, MacLean LG, Van Amburgh J, Persky AM. Faculty development program models to advance teaching and learning within health science programs. </w:t>
      </w:r>
      <w:r w:rsidRPr="002F7FCE">
        <w:rPr>
          <w:rFonts w:ascii="Garamond" w:hAnsi="Garamond"/>
          <w:i/>
        </w:rPr>
        <w:t>Am J Pharm Educ</w:t>
      </w:r>
      <w:r w:rsidRPr="002F7FCE">
        <w:rPr>
          <w:rFonts w:ascii="Garamond" w:hAnsi="Garamond"/>
        </w:rPr>
        <w:t xml:space="preserve">. 2014;78(5). </w:t>
      </w:r>
    </w:p>
    <w:p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McLaughlin JE, Cox WC, Williams CR, Shepherd G. Rational and experiential decision-making preferences of third-year student pharmacists. </w:t>
      </w:r>
      <w:r w:rsidRPr="002F7FCE">
        <w:rPr>
          <w:rFonts w:ascii="Garamond" w:hAnsi="Garamond"/>
          <w:i/>
        </w:rPr>
        <w:t>Am J Pharm Educ</w:t>
      </w:r>
      <w:r w:rsidRPr="002F7FCE">
        <w:rPr>
          <w:rFonts w:ascii="Garamond" w:hAnsi="Garamond"/>
        </w:rPr>
        <w:t>. 2014;78(6):120.</w:t>
      </w:r>
    </w:p>
    <w:p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McLaughlin JE, Roth MT, Glatt DM, et al. The flipped classroom: A course redesign to foster learning and engagement in a health professions school. </w:t>
      </w:r>
      <w:r w:rsidRPr="002F7FCE">
        <w:rPr>
          <w:rFonts w:ascii="Garamond" w:hAnsi="Garamond"/>
          <w:i/>
          <w:iCs/>
        </w:rPr>
        <w:t>Acad Med</w:t>
      </w:r>
      <w:r w:rsidRPr="002F7FCE">
        <w:rPr>
          <w:rFonts w:ascii="Garamond" w:hAnsi="Garamond"/>
        </w:rPr>
        <w:t>. 2014;89(2):236-243</w:t>
      </w:r>
    </w:p>
    <w:p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eastAsia="Times New Roman" w:hAnsi="Garamond" w:cs="Times New Roman"/>
        </w:rPr>
        <w:t xml:space="preserve">Ostroff J, Anksorus H. An academia rotation during a postgraduate year 2 residency. </w:t>
      </w:r>
      <w:r w:rsidRPr="002F7FCE">
        <w:rPr>
          <w:rFonts w:ascii="Garamond" w:eastAsia="Times New Roman" w:hAnsi="Garamond" w:cs="Times New Roman"/>
          <w:i/>
        </w:rPr>
        <w:t>Am J Health Syst Pharm</w:t>
      </w:r>
      <w:r w:rsidRPr="002F7FCE">
        <w:rPr>
          <w:rFonts w:ascii="Garamond" w:eastAsia="Times New Roman" w:hAnsi="Garamond" w:cs="Times New Roman"/>
        </w:rPr>
        <w:t>. 2014;71(12):998-9.</w:t>
      </w:r>
    </w:p>
    <w:p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Persky AM, Kirwin JL, Marasco Jr. CJ, May DB, Skomo ML, Kennedy KB. Classroom attendance: Factors and perceptions of students and faculty in US schools of pharmacy. </w:t>
      </w:r>
      <w:r w:rsidRPr="002F7FCE">
        <w:rPr>
          <w:rFonts w:ascii="Garamond" w:hAnsi="Garamond"/>
          <w:i/>
          <w:iCs/>
        </w:rPr>
        <w:t>Currents in Pharmacy Teaching and Learning</w:t>
      </w:r>
      <w:r w:rsidRPr="002F7FCE">
        <w:rPr>
          <w:rFonts w:ascii="Garamond" w:hAnsi="Garamond"/>
        </w:rPr>
        <w:t>. 2014;6(1):1-9.</w:t>
      </w:r>
    </w:p>
    <w:p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Persky AM, Dupuis RE. An eight-year retrospective study in "flipped" pharmacokinetics courses. </w:t>
      </w:r>
      <w:r w:rsidRPr="002F7FCE">
        <w:rPr>
          <w:rFonts w:ascii="Garamond" w:hAnsi="Garamond"/>
          <w:i/>
        </w:rPr>
        <w:t xml:space="preserve">Am J Pharm Educ. </w:t>
      </w:r>
      <w:r w:rsidRPr="002F7FCE">
        <w:rPr>
          <w:rFonts w:ascii="Garamond" w:hAnsi="Garamond"/>
        </w:rPr>
        <w:t>2014;78(10):190.</w:t>
      </w:r>
    </w:p>
    <w:p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Persky AM. Cost-benefit of instructional strategies. </w:t>
      </w:r>
      <w:r w:rsidRPr="002F7FCE">
        <w:rPr>
          <w:rFonts w:ascii="Garamond" w:hAnsi="Garamond"/>
          <w:i/>
          <w:iCs/>
        </w:rPr>
        <w:t>Am J Pharm Educ</w:t>
      </w:r>
      <w:r w:rsidRPr="002F7FCE">
        <w:rPr>
          <w:rFonts w:ascii="Garamond" w:hAnsi="Garamond"/>
        </w:rPr>
        <w:t xml:space="preserve">. 2014;78(8). </w:t>
      </w:r>
    </w:p>
    <w:p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Pfeiffenberger JA, Rhoney DH, Cutler SJ, et al. Perceptions of tenure and tenure reform in academic pharmacy. </w:t>
      </w:r>
      <w:r w:rsidRPr="002F7FCE">
        <w:rPr>
          <w:rFonts w:ascii="Garamond" w:hAnsi="Garamond"/>
          <w:i/>
          <w:iCs/>
        </w:rPr>
        <w:t>Am J Pharm Educ</w:t>
      </w:r>
      <w:r w:rsidRPr="002F7FCE">
        <w:rPr>
          <w:rFonts w:ascii="Garamond" w:hAnsi="Garamond"/>
        </w:rPr>
        <w:t>. 2014;78(4).</w:t>
      </w:r>
    </w:p>
    <w:p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Roark AM, Anksorus HN, Shrewsbury RP. Long-term results of an analytical assessment of student compounded preparations. </w:t>
      </w:r>
      <w:r w:rsidRPr="002F7FCE">
        <w:rPr>
          <w:rFonts w:ascii="Garamond" w:hAnsi="Garamond"/>
          <w:i/>
          <w:iCs/>
        </w:rPr>
        <w:t>Am J Pharm Educ</w:t>
      </w:r>
      <w:r w:rsidRPr="002F7FCE">
        <w:rPr>
          <w:rFonts w:ascii="Garamond" w:hAnsi="Garamond"/>
        </w:rPr>
        <w:t>. 2014;78(9).</w:t>
      </w:r>
    </w:p>
    <w:p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Roth MT, Mumper RJ, Singleton SF, et al. A renaissance in pharmacy education at the University of North Carolina at Chapel Hill</w:t>
      </w:r>
      <w:r w:rsidRPr="002F7FCE">
        <w:rPr>
          <w:rFonts w:ascii="Garamond" w:hAnsi="Garamond"/>
          <w:i/>
        </w:rPr>
        <w:t>. N C Med J</w:t>
      </w:r>
      <w:r w:rsidRPr="002F7FCE">
        <w:rPr>
          <w:rFonts w:ascii="Garamond" w:hAnsi="Garamond"/>
        </w:rPr>
        <w:t>. 2014;75(1):48-52.</w:t>
      </w:r>
    </w:p>
    <w:p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Tofade T, Kim J, Lebovitz L, et al. Introduction of a continuing professional development tool for preceptors: Lessons learned. </w:t>
      </w:r>
      <w:r w:rsidRPr="002F7FCE">
        <w:rPr>
          <w:rFonts w:ascii="Garamond" w:hAnsi="Garamond"/>
          <w:i/>
          <w:iCs/>
        </w:rPr>
        <w:t>J Pharm Pract</w:t>
      </w:r>
      <w:r w:rsidRPr="002F7FCE">
        <w:rPr>
          <w:rFonts w:ascii="Garamond" w:hAnsi="Garamond"/>
        </w:rPr>
        <w:t>. 2014</w:t>
      </w:r>
    </w:p>
    <w:p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White C, Louis B, Joyner P, Townsend-Howell D, Simmons-Yon A, Griffin L. Pursuing a career in academia: Perceptions of pharmacists and student pharmacists. </w:t>
      </w:r>
      <w:r w:rsidRPr="002F7FCE">
        <w:rPr>
          <w:rFonts w:ascii="Garamond" w:hAnsi="Garamond"/>
          <w:i/>
          <w:iCs/>
        </w:rPr>
        <w:t>Currents in Pharmacy Teaching and Learning</w:t>
      </w:r>
      <w:r w:rsidRPr="002F7FCE">
        <w:rPr>
          <w:rFonts w:ascii="Garamond" w:hAnsi="Garamond"/>
        </w:rPr>
        <w:t>. 2014;6(3):449-454.</w:t>
      </w:r>
    </w:p>
    <w:p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Wilson (Waitzman) JA, Scolaro KL. Evaluation of perceptions regarding top 200 drug information exercises in a pharmaceutical care lab curriculum. </w:t>
      </w:r>
      <w:r w:rsidRPr="002F7FCE">
        <w:rPr>
          <w:rFonts w:ascii="Garamond" w:hAnsi="Garamond"/>
          <w:i/>
          <w:iCs/>
        </w:rPr>
        <w:t>Currents in Pharmacy Teaching and Learning</w:t>
      </w:r>
      <w:r w:rsidRPr="002F7FCE">
        <w:rPr>
          <w:rFonts w:ascii="Garamond" w:hAnsi="Garamond"/>
        </w:rPr>
        <w:t>. 2014;6(3):442-448.</w:t>
      </w:r>
    </w:p>
    <w:p w:rsidR="00220F5C" w:rsidRPr="00737877" w:rsidRDefault="00220F5C" w:rsidP="00737877">
      <w:pPr>
        <w:tabs>
          <w:tab w:val="left" w:pos="360"/>
        </w:tabs>
        <w:spacing w:after="0" w:line="240" w:lineRule="auto"/>
        <w:jc w:val="both"/>
        <w:rPr>
          <w:rFonts w:ascii="Garamond" w:eastAsia="Times New Roman" w:hAnsi="Garamond" w:cs="Times New Roman"/>
          <w:b/>
        </w:rPr>
      </w:pPr>
    </w:p>
    <w:p w:rsidR="00AC11F4" w:rsidRPr="00737877" w:rsidRDefault="00AC11F4" w:rsidP="00737877">
      <w:pPr>
        <w:tabs>
          <w:tab w:val="left" w:pos="360"/>
        </w:tabs>
        <w:spacing w:after="0" w:line="240" w:lineRule="auto"/>
        <w:jc w:val="both"/>
        <w:rPr>
          <w:rFonts w:ascii="Garamond" w:eastAsia="Times New Roman" w:hAnsi="Garamond" w:cs="Times New Roman"/>
          <w:b/>
        </w:rPr>
      </w:pPr>
      <w:r w:rsidRPr="00737877">
        <w:rPr>
          <w:rFonts w:ascii="Garamond" w:eastAsia="Times New Roman" w:hAnsi="Garamond" w:cs="Times New Roman"/>
          <w:b/>
        </w:rPr>
        <w:t>2013 (13 articles)</w:t>
      </w:r>
      <w:r w:rsidR="007E2163">
        <w:rPr>
          <w:rFonts w:ascii="Garamond" w:eastAsia="Times New Roman" w:hAnsi="Garamond" w:cs="Times New Roman"/>
          <w:b/>
        </w:rPr>
        <w:t>:</w:t>
      </w:r>
    </w:p>
    <w:p w:rsidR="001E36EB" w:rsidRPr="005A783B" w:rsidRDefault="001E36EB" w:rsidP="00BE408E">
      <w:pPr>
        <w:pStyle w:val="NormalWeb"/>
        <w:numPr>
          <w:ilvl w:val="0"/>
          <w:numId w:val="13"/>
        </w:numPr>
        <w:shd w:val="clear" w:color="auto" w:fill="FFFFFF"/>
        <w:spacing w:before="60" w:beforeAutospacing="0" w:after="0" w:afterAutospacing="0"/>
        <w:jc w:val="both"/>
        <w:rPr>
          <w:rFonts w:ascii="Garamond" w:hAnsi="Garamond"/>
          <w:sz w:val="22"/>
          <w:szCs w:val="22"/>
        </w:rPr>
      </w:pPr>
      <w:r w:rsidRPr="005A783B">
        <w:rPr>
          <w:rFonts w:ascii="Garamond" w:hAnsi="Garamond"/>
          <w:sz w:val="22"/>
          <w:szCs w:val="22"/>
        </w:rPr>
        <w:t>McLaughlin</w:t>
      </w:r>
      <w:r>
        <w:rPr>
          <w:rFonts w:ascii="Garamond" w:hAnsi="Garamond"/>
          <w:sz w:val="22"/>
          <w:szCs w:val="22"/>
        </w:rPr>
        <w:t xml:space="preserve"> JE</w:t>
      </w:r>
      <w:r w:rsidRPr="005A783B">
        <w:rPr>
          <w:rFonts w:ascii="Garamond" w:hAnsi="Garamond"/>
          <w:sz w:val="22"/>
          <w:szCs w:val="22"/>
        </w:rPr>
        <w:t>, Dean</w:t>
      </w:r>
      <w:r>
        <w:rPr>
          <w:rFonts w:ascii="Garamond" w:hAnsi="Garamond"/>
          <w:sz w:val="22"/>
          <w:szCs w:val="22"/>
        </w:rPr>
        <w:t xml:space="preserve"> MJ, Mumper RJ, Blouin RA, </w:t>
      </w:r>
      <w:r w:rsidRPr="005A783B">
        <w:rPr>
          <w:rFonts w:ascii="Garamond" w:hAnsi="Garamond"/>
          <w:sz w:val="22"/>
          <w:szCs w:val="22"/>
        </w:rPr>
        <w:t>Roth</w:t>
      </w:r>
      <w:r>
        <w:rPr>
          <w:rFonts w:ascii="Garamond" w:hAnsi="Garamond"/>
          <w:sz w:val="22"/>
          <w:szCs w:val="22"/>
        </w:rPr>
        <w:t xml:space="preserve"> MT</w:t>
      </w:r>
      <w:r w:rsidRPr="005A783B">
        <w:rPr>
          <w:rFonts w:ascii="Garamond" w:hAnsi="Garamond"/>
          <w:sz w:val="22"/>
          <w:szCs w:val="22"/>
        </w:rPr>
        <w:t>.</w:t>
      </w:r>
      <w:r>
        <w:rPr>
          <w:rFonts w:ascii="Garamond" w:hAnsi="Garamond"/>
          <w:sz w:val="22"/>
          <w:szCs w:val="22"/>
        </w:rPr>
        <w:t xml:space="preserve"> </w:t>
      </w:r>
      <w:r w:rsidRPr="005A783B">
        <w:rPr>
          <w:rFonts w:ascii="Garamond" w:hAnsi="Garamond"/>
          <w:sz w:val="22"/>
          <w:szCs w:val="22"/>
        </w:rPr>
        <w:t>A Roadmap for Educational Research in Pharmacy.</w:t>
      </w:r>
      <w:r>
        <w:rPr>
          <w:rFonts w:ascii="Garamond" w:hAnsi="Garamond"/>
          <w:sz w:val="22"/>
          <w:szCs w:val="22"/>
        </w:rPr>
        <w:t xml:space="preserve"> </w:t>
      </w:r>
      <w:r w:rsidRPr="005A783B">
        <w:rPr>
          <w:rFonts w:ascii="Garamond" w:hAnsi="Garamond"/>
          <w:sz w:val="22"/>
          <w:szCs w:val="22"/>
        </w:rPr>
        <w:t>Am</w:t>
      </w:r>
      <w:r>
        <w:rPr>
          <w:rFonts w:ascii="Garamond" w:hAnsi="Garamond"/>
          <w:sz w:val="22"/>
          <w:szCs w:val="22"/>
        </w:rPr>
        <w:t xml:space="preserve"> </w:t>
      </w:r>
      <w:r w:rsidRPr="005A783B">
        <w:rPr>
          <w:rFonts w:ascii="Garamond" w:hAnsi="Garamond"/>
          <w:sz w:val="22"/>
          <w:szCs w:val="22"/>
        </w:rPr>
        <w:t>J</w:t>
      </w:r>
      <w:r>
        <w:rPr>
          <w:rFonts w:ascii="Garamond" w:hAnsi="Garamond"/>
          <w:sz w:val="22"/>
          <w:szCs w:val="22"/>
        </w:rPr>
        <w:t xml:space="preserve"> </w:t>
      </w:r>
      <w:r w:rsidRPr="005A783B">
        <w:rPr>
          <w:rFonts w:ascii="Garamond" w:hAnsi="Garamond"/>
          <w:sz w:val="22"/>
          <w:szCs w:val="22"/>
        </w:rPr>
        <w:t>Pharm</w:t>
      </w:r>
      <w:r>
        <w:rPr>
          <w:rFonts w:ascii="Garamond" w:hAnsi="Garamond"/>
          <w:sz w:val="22"/>
          <w:szCs w:val="22"/>
        </w:rPr>
        <w:t xml:space="preserve"> </w:t>
      </w:r>
      <w:r w:rsidRPr="005A783B">
        <w:rPr>
          <w:rFonts w:ascii="Garamond" w:hAnsi="Garamond"/>
          <w:sz w:val="22"/>
          <w:szCs w:val="22"/>
        </w:rPr>
        <w:t>Ed</w:t>
      </w:r>
      <w:r>
        <w:rPr>
          <w:rFonts w:ascii="Garamond" w:hAnsi="Garamond"/>
          <w:sz w:val="22"/>
          <w:szCs w:val="22"/>
        </w:rPr>
        <w:t xml:space="preserve"> </w:t>
      </w:r>
      <w:r w:rsidRPr="005A783B">
        <w:rPr>
          <w:rFonts w:ascii="Garamond" w:hAnsi="Garamond"/>
          <w:sz w:val="22"/>
          <w:szCs w:val="22"/>
        </w:rPr>
        <w:t>2013</w:t>
      </w:r>
      <w:r>
        <w:rPr>
          <w:rFonts w:ascii="Garamond" w:hAnsi="Garamond"/>
          <w:sz w:val="22"/>
          <w:szCs w:val="22"/>
        </w:rPr>
        <w:t xml:space="preserve"> </w:t>
      </w:r>
      <w:r w:rsidRPr="005A783B">
        <w:rPr>
          <w:rFonts w:ascii="Garamond" w:hAnsi="Garamond"/>
          <w:sz w:val="22"/>
          <w:szCs w:val="22"/>
        </w:rPr>
        <w:t>77(10)</w:t>
      </w:r>
      <w:r>
        <w:rPr>
          <w:rFonts w:ascii="Garamond" w:hAnsi="Garamond"/>
          <w:sz w:val="22"/>
          <w:szCs w:val="22"/>
        </w:rPr>
        <w:t>;</w:t>
      </w:r>
      <w:r w:rsidRPr="005A783B">
        <w:rPr>
          <w:rFonts w:ascii="Garamond" w:hAnsi="Garamond"/>
          <w:sz w:val="22"/>
          <w:szCs w:val="22"/>
        </w:rPr>
        <w:t>Article 218.</w:t>
      </w:r>
    </w:p>
    <w:p w:rsidR="001E36EB" w:rsidRPr="005A783B" w:rsidRDefault="001E36EB" w:rsidP="00BE408E">
      <w:pPr>
        <w:pStyle w:val="NormalWeb"/>
        <w:numPr>
          <w:ilvl w:val="0"/>
          <w:numId w:val="13"/>
        </w:numPr>
        <w:shd w:val="clear" w:color="auto" w:fill="FFFFFF"/>
        <w:spacing w:line="240" w:lineRule="atLeast"/>
        <w:jc w:val="both"/>
        <w:rPr>
          <w:rFonts w:ascii="Garamond" w:hAnsi="Garamond" w:cs="Arial"/>
          <w:sz w:val="22"/>
          <w:szCs w:val="22"/>
        </w:rPr>
      </w:pPr>
      <w:r w:rsidRPr="005A783B">
        <w:rPr>
          <w:rFonts w:ascii="Garamond" w:hAnsi="Garamond"/>
          <w:sz w:val="22"/>
          <w:szCs w:val="22"/>
        </w:rPr>
        <w:t>McLaughlin</w:t>
      </w:r>
      <w:r>
        <w:rPr>
          <w:rFonts w:ascii="Garamond" w:hAnsi="Garamond"/>
          <w:sz w:val="22"/>
          <w:szCs w:val="22"/>
        </w:rPr>
        <w:t xml:space="preserve"> JE, </w:t>
      </w:r>
      <w:r w:rsidRPr="005A783B">
        <w:rPr>
          <w:rFonts w:ascii="Garamond" w:hAnsi="Garamond"/>
          <w:sz w:val="22"/>
          <w:szCs w:val="22"/>
        </w:rPr>
        <w:t>Roth</w:t>
      </w:r>
      <w:r>
        <w:rPr>
          <w:rFonts w:ascii="Garamond" w:hAnsi="Garamond"/>
          <w:sz w:val="22"/>
          <w:szCs w:val="22"/>
        </w:rPr>
        <w:t xml:space="preserve"> MT</w:t>
      </w:r>
      <w:r w:rsidRPr="005A783B">
        <w:rPr>
          <w:rFonts w:ascii="Garamond" w:hAnsi="Garamond"/>
          <w:sz w:val="22"/>
          <w:szCs w:val="22"/>
        </w:rPr>
        <w:t>, Glatt-Dowd</w:t>
      </w:r>
      <w:r>
        <w:rPr>
          <w:rFonts w:ascii="Garamond" w:hAnsi="Garamond"/>
          <w:sz w:val="22"/>
          <w:szCs w:val="22"/>
        </w:rPr>
        <w:t xml:space="preserve"> D</w:t>
      </w:r>
      <w:r w:rsidRPr="005A783B">
        <w:rPr>
          <w:rFonts w:ascii="Garamond" w:hAnsi="Garamond"/>
          <w:sz w:val="22"/>
          <w:szCs w:val="22"/>
        </w:rPr>
        <w:t>, Gharkholonarehe</w:t>
      </w:r>
      <w:r>
        <w:rPr>
          <w:rFonts w:ascii="Garamond" w:hAnsi="Garamond"/>
          <w:sz w:val="22"/>
          <w:szCs w:val="22"/>
        </w:rPr>
        <w:t xml:space="preserve"> N</w:t>
      </w:r>
      <w:r w:rsidRPr="005A783B">
        <w:rPr>
          <w:rFonts w:ascii="Garamond" w:hAnsi="Garamond"/>
          <w:sz w:val="22"/>
          <w:szCs w:val="22"/>
        </w:rPr>
        <w:t>, Davidson</w:t>
      </w:r>
      <w:r>
        <w:rPr>
          <w:rFonts w:ascii="Garamond" w:hAnsi="Garamond"/>
          <w:sz w:val="22"/>
          <w:szCs w:val="22"/>
        </w:rPr>
        <w:t xml:space="preserve"> C</w:t>
      </w:r>
      <w:r w:rsidRPr="005A783B">
        <w:rPr>
          <w:rFonts w:ascii="Garamond" w:hAnsi="Garamond"/>
          <w:sz w:val="22"/>
          <w:szCs w:val="22"/>
        </w:rPr>
        <w:t>, Griffin</w:t>
      </w:r>
      <w:r>
        <w:rPr>
          <w:rFonts w:ascii="Garamond" w:hAnsi="Garamond"/>
          <w:sz w:val="22"/>
          <w:szCs w:val="22"/>
        </w:rPr>
        <w:t xml:space="preserve"> L</w:t>
      </w:r>
      <w:r w:rsidRPr="005A783B">
        <w:rPr>
          <w:rFonts w:ascii="Garamond" w:hAnsi="Garamond"/>
          <w:sz w:val="22"/>
          <w:szCs w:val="22"/>
        </w:rPr>
        <w:t xml:space="preserve">, </w:t>
      </w:r>
      <w:r>
        <w:rPr>
          <w:rFonts w:ascii="Garamond" w:hAnsi="Garamond"/>
          <w:sz w:val="22"/>
          <w:szCs w:val="22"/>
        </w:rPr>
        <w:t xml:space="preserve">Esserman D, </w:t>
      </w:r>
      <w:r w:rsidRPr="005A783B">
        <w:rPr>
          <w:rFonts w:ascii="Garamond" w:hAnsi="Garamond"/>
          <w:sz w:val="22"/>
          <w:szCs w:val="22"/>
        </w:rPr>
        <w:t>Mumper</w:t>
      </w:r>
      <w:r>
        <w:rPr>
          <w:rFonts w:ascii="Garamond" w:hAnsi="Garamond"/>
          <w:sz w:val="22"/>
          <w:szCs w:val="22"/>
        </w:rPr>
        <w:t xml:space="preserve"> RJ</w:t>
      </w:r>
      <w:r w:rsidRPr="005A783B">
        <w:rPr>
          <w:rFonts w:ascii="Garamond" w:hAnsi="Garamond"/>
          <w:sz w:val="22"/>
          <w:szCs w:val="22"/>
        </w:rPr>
        <w:t>. Pharmacy Student Engagement, Performance, and Perception in a Flipped Satellite Classroom.</w:t>
      </w:r>
      <w:r>
        <w:rPr>
          <w:rFonts w:ascii="Garamond" w:hAnsi="Garamond"/>
          <w:sz w:val="22"/>
          <w:szCs w:val="22"/>
        </w:rPr>
        <w:t xml:space="preserve"> </w:t>
      </w:r>
      <w:r w:rsidRPr="005A783B">
        <w:rPr>
          <w:rFonts w:ascii="Garamond" w:hAnsi="Garamond"/>
          <w:sz w:val="22"/>
          <w:szCs w:val="22"/>
        </w:rPr>
        <w:t>Am</w:t>
      </w:r>
      <w:r>
        <w:rPr>
          <w:rFonts w:ascii="Garamond" w:hAnsi="Garamond"/>
          <w:sz w:val="22"/>
          <w:szCs w:val="22"/>
        </w:rPr>
        <w:t xml:space="preserve"> </w:t>
      </w:r>
      <w:r w:rsidRPr="005A783B">
        <w:rPr>
          <w:rFonts w:ascii="Garamond" w:hAnsi="Garamond"/>
          <w:sz w:val="22"/>
          <w:szCs w:val="22"/>
        </w:rPr>
        <w:t>J</w:t>
      </w:r>
      <w:r>
        <w:rPr>
          <w:rFonts w:ascii="Garamond" w:hAnsi="Garamond"/>
          <w:sz w:val="22"/>
          <w:szCs w:val="22"/>
        </w:rPr>
        <w:t xml:space="preserve"> </w:t>
      </w:r>
      <w:r w:rsidRPr="005A783B">
        <w:rPr>
          <w:rFonts w:ascii="Garamond" w:hAnsi="Garamond"/>
          <w:sz w:val="22"/>
          <w:szCs w:val="22"/>
        </w:rPr>
        <w:t>Pharm</w:t>
      </w:r>
      <w:r>
        <w:rPr>
          <w:rFonts w:ascii="Garamond" w:hAnsi="Garamond"/>
          <w:sz w:val="22"/>
          <w:szCs w:val="22"/>
        </w:rPr>
        <w:t xml:space="preserve"> </w:t>
      </w:r>
      <w:r w:rsidRPr="005A783B">
        <w:rPr>
          <w:rFonts w:ascii="Garamond" w:hAnsi="Garamond"/>
          <w:sz w:val="22"/>
          <w:szCs w:val="22"/>
        </w:rPr>
        <w:t>Ed</w:t>
      </w:r>
      <w:r>
        <w:rPr>
          <w:rFonts w:ascii="Garamond" w:hAnsi="Garamond"/>
          <w:sz w:val="22"/>
          <w:szCs w:val="22"/>
        </w:rPr>
        <w:t xml:space="preserve"> </w:t>
      </w:r>
      <w:r w:rsidRPr="005A783B">
        <w:rPr>
          <w:rFonts w:ascii="Garamond" w:hAnsi="Garamond"/>
          <w:sz w:val="22"/>
          <w:szCs w:val="22"/>
        </w:rPr>
        <w:t>2013</w:t>
      </w:r>
      <w:r>
        <w:rPr>
          <w:rFonts w:ascii="Garamond" w:hAnsi="Garamond"/>
          <w:sz w:val="22"/>
          <w:szCs w:val="22"/>
        </w:rPr>
        <w:t xml:space="preserve"> </w:t>
      </w:r>
      <w:r w:rsidRPr="005A783B">
        <w:rPr>
          <w:rFonts w:ascii="Garamond" w:hAnsi="Garamond"/>
          <w:sz w:val="22"/>
          <w:szCs w:val="22"/>
        </w:rPr>
        <w:t>77(9)</w:t>
      </w:r>
      <w:r>
        <w:rPr>
          <w:rFonts w:ascii="Garamond" w:hAnsi="Garamond"/>
          <w:sz w:val="22"/>
          <w:szCs w:val="22"/>
        </w:rPr>
        <w:t>;</w:t>
      </w:r>
      <w:r w:rsidRPr="005A783B">
        <w:rPr>
          <w:rFonts w:ascii="Garamond" w:hAnsi="Garamond"/>
          <w:sz w:val="22"/>
          <w:szCs w:val="22"/>
        </w:rPr>
        <w:t>Article 196.</w:t>
      </w:r>
    </w:p>
    <w:p w:rsidR="001E36EB" w:rsidRPr="005A783B" w:rsidRDefault="001E36EB" w:rsidP="00BE408E">
      <w:pPr>
        <w:pStyle w:val="NormalWeb"/>
        <w:numPr>
          <w:ilvl w:val="0"/>
          <w:numId w:val="13"/>
        </w:numPr>
        <w:shd w:val="clear" w:color="auto" w:fill="FFFFFF"/>
        <w:spacing w:line="240" w:lineRule="atLeast"/>
        <w:jc w:val="both"/>
        <w:rPr>
          <w:rFonts w:ascii="Garamond" w:hAnsi="Garamond" w:cs="Arial"/>
          <w:sz w:val="22"/>
          <w:szCs w:val="22"/>
        </w:rPr>
      </w:pPr>
      <w:r w:rsidRPr="005A783B">
        <w:rPr>
          <w:rFonts w:ascii="Garamond" w:hAnsi="Garamond" w:cs="Arial"/>
          <w:sz w:val="22"/>
          <w:szCs w:val="22"/>
        </w:rPr>
        <w:t xml:space="preserve">Farland MZ, Sicat BL, Franks AS, Pater KS, Medina MS, Persky AM. </w:t>
      </w:r>
      <w:hyperlink r:id="rId8" w:history="1">
        <w:r w:rsidRPr="005A783B">
          <w:rPr>
            <w:rFonts w:ascii="Garamond" w:hAnsi="Garamond" w:cs="Arial"/>
            <w:sz w:val="22"/>
            <w:szCs w:val="22"/>
          </w:rPr>
          <w:t>Best practices for implementing team-based learning in pharmacy education.</w:t>
        </w:r>
      </w:hyperlink>
      <w:r w:rsidRPr="005A783B">
        <w:rPr>
          <w:rFonts w:ascii="Garamond" w:hAnsi="Garamond" w:cs="Arial"/>
          <w:sz w:val="22"/>
          <w:szCs w:val="22"/>
        </w:rPr>
        <w:t xml:space="preserve"> </w:t>
      </w:r>
      <w:r w:rsidRPr="005A783B">
        <w:rPr>
          <w:rStyle w:val="jrnl"/>
          <w:rFonts w:ascii="Garamond" w:hAnsi="Garamond" w:cs="Arial"/>
          <w:sz w:val="22"/>
          <w:szCs w:val="22"/>
        </w:rPr>
        <w:t>Am J Pharm Educ</w:t>
      </w:r>
      <w:r w:rsidRPr="005A783B">
        <w:rPr>
          <w:rFonts w:ascii="Garamond" w:hAnsi="Garamond" w:cs="Arial"/>
          <w:sz w:val="22"/>
          <w:szCs w:val="22"/>
        </w:rPr>
        <w:t>. 2013 Oct 14;77(8):177.</w:t>
      </w:r>
    </w:p>
    <w:p w:rsidR="001E36EB" w:rsidRPr="005A783B" w:rsidRDefault="001E36EB" w:rsidP="00BE408E">
      <w:pPr>
        <w:pStyle w:val="desc2"/>
        <w:numPr>
          <w:ilvl w:val="0"/>
          <w:numId w:val="13"/>
        </w:numPr>
        <w:shd w:val="clear" w:color="auto" w:fill="FFFFFF"/>
        <w:spacing w:line="240" w:lineRule="atLeast"/>
        <w:jc w:val="both"/>
        <w:rPr>
          <w:rFonts w:ascii="Garamond" w:hAnsi="Garamond" w:cs="Arial"/>
          <w:sz w:val="22"/>
          <w:szCs w:val="22"/>
        </w:rPr>
      </w:pPr>
      <w:r w:rsidRPr="005A783B">
        <w:rPr>
          <w:rFonts w:ascii="Garamond" w:hAnsi="Garamond" w:cs="Arial"/>
          <w:sz w:val="22"/>
          <w:szCs w:val="22"/>
        </w:rPr>
        <w:t xml:space="preserve">Greco AJ, Ferreri SP, Persky AM, Marciniak MW. </w:t>
      </w:r>
      <w:hyperlink r:id="rId9" w:history="1">
        <w:r w:rsidRPr="005A783B">
          <w:rPr>
            <w:rFonts w:ascii="Garamond" w:hAnsi="Garamond" w:cs="Arial"/>
            <w:sz w:val="22"/>
            <w:szCs w:val="22"/>
          </w:rPr>
          <w:t xml:space="preserve">Characteristics of postgraduate year two </w:t>
        </w:r>
        <w:r w:rsidRPr="005A783B">
          <w:rPr>
            <w:rFonts w:ascii="Garamond" w:hAnsi="Garamond" w:cs="Arial"/>
            <w:bCs/>
            <w:sz w:val="22"/>
            <w:szCs w:val="22"/>
          </w:rPr>
          <w:t>pharmacy</w:t>
        </w:r>
        <w:r w:rsidRPr="005A783B">
          <w:rPr>
            <w:rFonts w:ascii="Garamond" w:hAnsi="Garamond" w:cs="Arial"/>
            <w:sz w:val="22"/>
            <w:szCs w:val="22"/>
          </w:rPr>
          <w:t xml:space="preserve"> residency programs with a secondary emphasis on academia.</w:t>
        </w:r>
      </w:hyperlink>
      <w:r w:rsidRPr="005A783B">
        <w:rPr>
          <w:rFonts w:ascii="Garamond" w:hAnsi="Garamond" w:cs="Arial"/>
          <w:sz w:val="22"/>
          <w:szCs w:val="22"/>
        </w:rPr>
        <w:t xml:space="preserve"> </w:t>
      </w:r>
      <w:r w:rsidRPr="005A783B">
        <w:rPr>
          <w:rStyle w:val="jrnl"/>
          <w:rFonts w:ascii="Garamond" w:hAnsi="Garamond" w:cs="Arial"/>
          <w:sz w:val="22"/>
          <w:szCs w:val="22"/>
        </w:rPr>
        <w:t>Am J Pharm Educ</w:t>
      </w:r>
      <w:r w:rsidRPr="005A783B">
        <w:rPr>
          <w:rFonts w:ascii="Garamond" w:hAnsi="Garamond" w:cs="Arial"/>
          <w:sz w:val="22"/>
          <w:szCs w:val="22"/>
        </w:rPr>
        <w:t>. 2013 Sep 12;77(7):143.</w:t>
      </w:r>
    </w:p>
    <w:p w:rsidR="001E36EB" w:rsidRPr="005A783B" w:rsidRDefault="001E36EB" w:rsidP="00BE408E">
      <w:pPr>
        <w:pStyle w:val="desc2"/>
        <w:numPr>
          <w:ilvl w:val="0"/>
          <w:numId w:val="13"/>
        </w:numPr>
        <w:shd w:val="clear" w:color="auto" w:fill="FFFFFF"/>
        <w:spacing w:line="240" w:lineRule="atLeast"/>
        <w:jc w:val="both"/>
        <w:rPr>
          <w:rFonts w:ascii="Garamond" w:hAnsi="Garamond" w:cs="Arial"/>
          <w:sz w:val="22"/>
          <w:szCs w:val="22"/>
        </w:rPr>
      </w:pPr>
      <w:r w:rsidRPr="005A783B">
        <w:rPr>
          <w:rFonts w:ascii="Garamond" w:hAnsi="Garamond" w:cs="Arial"/>
          <w:sz w:val="22"/>
          <w:szCs w:val="22"/>
        </w:rPr>
        <w:t>Cox WC, Persky A, Blalock SJ.</w:t>
      </w:r>
      <w:r>
        <w:rPr>
          <w:rFonts w:ascii="Garamond" w:hAnsi="Garamond" w:cs="Arial"/>
          <w:sz w:val="22"/>
          <w:szCs w:val="22"/>
        </w:rPr>
        <w:t xml:space="preserve"> </w:t>
      </w:r>
      <w:hyperlink r:id="rId10" w:history="1">
        <w:r w:rsidRPr="005A783B">
          <w:rPr>
            <w:rFonts w:ascii="Garamond" w:hAnsi="Garamond" w:cs="Arial"/>
            <w:sz w:val="22"/>
            <w:szCs w:val="22"/>
          </w:rPr>
          <w:t>Correlation of the Health Sciences Reasoning Test with student admission variables.</w:t>
        </w:r>
      </w:hyperlink>
      <w:r w:rsidRPr="005A783B">
        <w:rPr>
          <w:rFonts w:ascii="Garamond" w:hAnsi="Garamond" w:cs="Arial"/>
          <w:sz w:val="22"/>
          <w:szCs w:val="22"/>
        </w:rPr>
        <w:t xml:space="preserve"> </w:t>
      </w:r>
      <w:r w:rsidRPr="005A783B">
        <w:rPr>
          <w:rStyle w:val="jrnl"/>
          <w:rFonts w:ascii="Garamond" w:hAnsi="Garamond" w:cs="Arial"/>
          <w:sz w:val="22"/>
          <w:szCs w:val="22"/>
        </w:rPr>
        <w:t>Am J Pharm Educ</w:t>
      </w:r>
      <w:r w:rsidRPr="005A783B">
        <w:rPr>
          <w:rFonts w:ascii="Garamond" w:hAnsi="Garamond" w:cs="Arial"/>
          <w:sz w:val="22"/>
          <w:szCs w:val="22"/>
        </w:rPr>
        <w:t>. 2013 Aug 12;77(6):118.</w:t>
      </w:r>
    </w:p>
    <w:p w:rsidR="001E36EB" w:rsidRPr="005A783B" w:rsidRDefault="001E36EB" w:rsidP="00BE408E">
      <w:pPr>
        <w:pStyle w:val="desc2"/>
        <w:numPr>
          <w:ilvl w:val="0"/>
          <w:numId w:val="13"/>
        </w:numPr>
        <w:shd w:val="clear" w:color="auto" w:fill="FFFFFF"/>
        <w:spacing w:line="240" w:lineRule="atLeast"/>
        <w:jc w:val="both"/>
        <w:rPr>
          <w:rFonts w:ascii="Garamond" w:hAnsi="Garamond" w:cs="Arial"/>
          <w:sz w:val="22"/>
          <w:szCs w:val="22"/>
        </w:rPr>
      </w:pPr>
      <w:r w:rsidRPr="005A783B">
        <w:rPr>
          <w:rFonts w:ascii="Garamond" w:hAnsi="Garamond" w:cs="Arial"/>
          <w:sz w:val="22"/>
          <w:szCs w:val="22"/>
        </w:rPr>
        <w:t xml:space="preserve">White C, Louis B, Persky A, Howell DT, Griffin LM, Simmons-Yon A, Scolaro KL. </w:t>
      </w:r>
      <w:hyperlink r:id="rId11" w:history="1">
        <w:r w:rsidRPr="005A783B">
          <w:rPr>
            <w:rFonts w:ascii="Garamond" w:hAnsi="Garamond" w:cs="Arial"/>
            <w:sz w:val="22"/>
            <w:szCs w:val="22"/>
          </w:rPr>
          <w:t xml:space="preserve">Institutional strategies to achieve diversity and inclusion in </w:t>
        </w:r>
        <w:r w:rsidRPr="005A783B">
          <w:rPr>
            <w:rFonts w:ascii="Garamond" w:hAnsi="Garamond" w:cs="Arial"/>
            <w:bCs/>
            <w:sz w:val="22"/>
            <w:szCs w:val="22"/>
          </w:rPr>
          <w:t>pharmacy</w:t>
        </w:r>
        <w:r w:rsidRPr="005A783B">
          <w:rPr>
            <w:rFonts w:ascii="Garamond" w:hAnsi="Garamond" w:cs="Arial"/>
            <w:sz w:val="22"/>
            <w:szCs w:val="22"/>
          </w:rPr>
          <w:t xml:space="preserve"> education.</w:t>
        </w:r>
      </w:hyperlink>
      <w:r w:rsidRPr="005A783B">
        <w:rPr>
          <w:rFonts w:ascii="Garamond" w:hAnsi="Garamond" w:cs="Arial"/>
          <w:sz w:val="22"/>
          <w:szCs w:val="22"/>
        </w:rPr>
        <w:t xml:space="preserve"> </w:t>
      </w:r>
      <w:r w:rsidRPr="005A783B">
        <w:rPr>
          <w:rStyle w:val="jrnl"/>
          <w:rFonts w:ascii="Garamond" w:hAnsi="Garamond" w:cs="Arial"/>
          <w:sz w:val="22"/>
          <w:szCs w:val="22"/>
        </w:rPr>
        <w:t>Am J Pharm Educ</w:t>
      </w:r>
      <w:r w:rsidRPr="005A783B">
        <w:rPr>
          <w:rFonts w:ascii="Garamond" w:hAnsi="Garamond" w:cs="Arial"/>
          <w:sz w:val="22"/>
          <w:szCs w:val="22"/>
        </w:rPr>
        <w:t>. 2013 Jun 12;77(5):97.</w:t>
      </w:r>
    </w:p>
    <w:p w:rsidR="001E36EB" w:rsidRPr="005A783B" w:rsidRDefault="001E36EB" w:rsidP="00BE408E">
      <w:pPr>
        <w:pStyle w:val="ListParagraph"/>
        <w:numPr>
          <w:ilvl w:val="0"/>
          <w:numId w:val="13"/>
        </w:numPr>
        <w:shd w:val="clear" w:color="auto" w:fill="FFFFFF"/>
        <w:spacing w:after="0" w:line="240" w:lineRule="auto"/>
        <w:jc w:val="both"/>
        <w:rPr>
          <w:rFonts w:ascii="Garamond" w:eastAsia="Times New Roman" w:hAnsi="Garamond" w:cs="Arial"/>
        </w:rPr>
      </w:pPr>
      <w:r w:rsidRPr="005A783B">
        <w:rPr>
          <w:rFonts w:ascii="Garamond" w:eastAsia="Times New Roman" w:hAnsi="Garamond" w:cs="Arial"/>
        </w:rPr>
        <w:t xml:space="preserve">Rodgers PT, Leadon K. </w:t>
      </w:r>
      <w:hyperlink r:id="rId12" w:history="1">
        <w:r w:rsidRPr="005A783B">
          <w:rPr>
            <w:rFonts w:ascii="Garamond" w:eastAsia="Times New Roman" w:hAnsi="Garamond" w:cs="Arial"/>
          </w:rPr>
          <w:t xml:space="preserve">Characteristics of experiential education web sites of US colleges and </w:t>
        </w:r>
        <w:r w:rsidRPr="005A783B">
          <w:rPr>
            <w:rFonts w:ascii="Garamond" w:eastAsia="Times New Roman" w:hAnsi="Garamond" w:cs="Arial"/>
            <w:bCs/>
          </w:rPr>
          <w:t>schools</w:t>
        </w:r>
        <w:r w:rsidRPr="005A783B">
          <w:rPr>
            <w:rFonts w:ascii="Garamond" w:eastAsia="Times New Roman" w:hAnsi="Garamond" w:cs="Arial"/>
          </w:rPr>
          <w:t xml:space="preserve"> of </w:t>
        </w:r>
        <w:r w:rsidRPr="005A783B">
          <w:rPr>
            <w:rFonts w:ascii="Garamond" w:eastAsia="Times New Roman" w:hAnsi="Garamond" w:cs="Arial"/>
            <w:bCs/>
          </w:rPr>
          <w:t>pharmacy</w:t>
        </w:r>
        <w:r w:rsidRPr="005A783B">
          <w:rPr>
            <w:rFonts w:ascii="Garamond" w:eastAsia="Times New Roman" w:hAnsi="Garamond" w:cs="Arial"/>
          </w:rPr>
          <w:t>.</w:t>
        </w:r>
      </w:hyperlink>
      <w:r w:rsidRPr="005A783B">
        <w:rPr>
          <w:rFonts w:ascii="Garamond" w:eastAsia="Times New Roman" w:hAnsi="Garamond" w:cs="Arial"/>
        </w:rPr>
        <w:t xml:space="preserve"> Am J Pharm Educ. 2013 Jun 12;77(5):96.</w:t>
      </w:r>
    </w:p>
    <w:p w:rsidR="001E36EB" w:rsidRPr="00083245" w:rsidRDefault="001E36EB" w:rsidP="00BE408E">
      <w:pPr>
        <w:pStyle w:val="ListParagraph"/>
        <w:numPr>
          <w:ilvl w:val="0"/>
          <w:numId w:val="13"/>
        </w:numPr>
        <w:shd w:val="clear" w:color="auto" w:fill="FFFFFF"/>
        <w:spacing w:after="0" w:line="240" w:lineRule="auto"/>
        <w:jc w:val="both"/>
        <w:rPr>
          <w:rFonts w:ascii="Garamond" w:eastAsia="Times New Roman" w:hAnsi="Garamond" w:cs="Arial"/>
        </w:rPr>
      </w:pPr>
      <w:r w:rsidRPr="00083245">
        <w:rPr>
          <w:rFonts w:ascii="Garamond" w:eastAsia="Times New Roman" w:hAnsi="Garamond" w:cs="Arial"/>
        </w:rPr>
        <w:t xml:space="preserve">Persky AM, Alford EL, Kyle J. </w:t>
      </w:r>
      <w:hyperlink r:id="rId13" w:history="1">
        <w:r w:rsidRPr="00083245">
          <w:rPr>
            <w:rFonts w:ascii="Garamond" w:eastAsia="Times New Roman" w:hAnsi="Garamond" w:cs="Arial"/>
          </w:rPr>
          <w:t>Not all hard work leads to learning.</w:t>
        </w:r>
      </w:hyperlink>
      <w:r w:rsidRPr="00083245">
        <w:rPr>
          <w:rFonts w:ascii="Garamond" w:eastAsia="Times New Roman" w:hAnsi="Garamond" w:cs="Arial"/>
        </w:rPr>
        <w:t xml:space="preserve"> Am J Pharm Educ. 2013 Jun 12;77(5):89.</w:t>
      </w:r>
    </w:p>
    <w:p w:rsidR="001E36EB" w:rsidRPr="00083245" w:rsidRDefault="001E36EB" w:rsidP="00BE408E">
      <w:pPr>
        <w:pStyle w:val="desc2"/>
        <w:numPr>
          <w:ilvl w:val="0"/>
          <w:numId w:val="13"/>
        </w:numPr>
        <w:shd w:val="clear" w:color="auto" w:fill="FFFFFF"/>
        <w:jc w:val="both"/>
        <w:rPr>
          <w:rFonts w:ascii="Garamond" w:hAnsi="Garamond" w:cs="Arial"/>
          <w:sz w:val="22"/>
          <w:szCs w:val="22"/>
        </w:rPr>
      </w:pPr>
      <w:r w:rsidRPr="00083245">
        <w:rPr>
          <w:rFonts w:ascii="Garamond" w:hAnsi="Garamond" w:cs="Arial"/>
          <w:sz w:val="22"/>
          <w:szCs w:val="22"/>
        </w:rPr>
        <w:t xml:space="preserve">Waitzman JA, Dinkins MM. </w:t>
      </w:r>
      <w:hyperlink r:id="rId14" w:history="1">
        <w:r w:rsidRPr="00083245">
          <w:rPr>
            <w:rFonts w:ascii="Garamond" w:hAnsi="Garamond" w:cs="Arial"/>
            <w:sz w:val="22"/>
            <w:szCs w:val="22"/>
          </w:rPr>
          <w:t>A prescription analysis exercise in a pharmaceutical care laboratory course.</w:t>
        </w:r>
      </w:hyperlink>
      <w:r w:rsidRPr="00083245">
        <w:rPr>
          <w:rFonts w:ascii="Garamond" w:hAnsi="Garamond" w:cs="Arial"/>
          <w:sz w:val="22"/>
          <w:szCs w:val="22"/>
        </w:rPr>
        <w:t xml:space="preserve"> </w:t>
      </w:r>
      <w:r w:rsidRPr="00083245">
        <w:rPr>
          <w:rStyle w:val="jrnl"/>
          <w:rFonts w:ascii="Garamond" w:hAnsi="Garamond" w:cs="Arial"/>
          <w:sz w:val="22"/>
          <w:szCs w:val="22"/>
        </w:rPr>
        <w:t>Am J Pharm Educ</w:t>
      </w:r>
      <w:r w:rsidRPr="00083245">
        <w:rPr>
          <w:rFonts w:ascii="Garamond" w:hAnsi="Garamond" w:cs="Arial"/>
          <w:sz w:val="22"/>
          <w:szCs w:val="22"/>
        </w:rPr>
        <w:t>. 2013 Mar 12;77(2):32.</w:t>
      </w:r>
    </w:p>
    <w:p w:rsidR="001E36EB" w:rsidRPr="00083245" w:rsidRDefault="001E36EB" w:rsidP="00BE408E">
      <w:pPr>
        <w:pStyle w:val="desc2"/>
        <w:numPr>
          <w:ilvl w:val="0"/>
          <w:numId w:val="13"/>
        </w:numPr>
        <w:shd w:val="clear" w:color="auto" w:fill="FFFFFF"/>
        <w:jc w:val="both"/>
        <w:rPr>
          <w:rFonts w:ascii="Garamond" w:hAnsi="Garamond"/>
          <w:sz w:val="22"/>
          <w:szCs w:val="22"/>
        </w:rPr>
      </w:pPr>
      <w:r w:rsidRPr="00083245">
        <w:rPr>
          <w:rFonts w:ascii="Garamond" w:hAnsi="Garamond" w:cs="Arial"/>
          <w:sz w:val="22"/>
          <w:szCs w:val="22"/>
        </w:rPr>
        <w:t xml:space="preserve">Ferreri SP, O'Connor SK. </w:t>
      </w:r>
      <w:hyperlink r:id="rId15" w:history="1">
        <w:r w:rsidRPr="00083245">
          <w:rPr>
            <w:rFonts w:ascii="Garamond" w:hAnsi="Garamond" w:cs="Arial"/>
            <w:sz w:val="22"/>
            <w:szCs w:val="22"/>
          </w:rPr>
          <w:t>Redesign of a large lecture course into a small-group learning course.</w:t>
        </w:r>
      </w:hyperlink>
      <w:r w:rsidRPr="00083245">
        <w:rPr>
          <w:rFonts w:ascii="Garamond" w:hAnsi="Garamond" w:cs="Arial"/>
          <w:sz w:val="22"/>
          <w:szCs w:val="22"/>
        </w:rPr>
        <w:t xml:space="preserve"> </w:t>
      </w:r>
      <w:r w:rsidRPr="00083245">
        <w:rPr>
          <w:rStyle w:val="jrnl"/>
          <w:rFonts w:ascii="Garamond" w:hAnsi="Garamond" w:cs="Arial"/>
          <w:sz w:val="22"/>
          <w:szCs w:val="22"/>
        </w:rPr>
        <w:t>Am J Pharm Educ</w:t>
      </w:r>
      <w:r w:rsidRPr="00083245">
        <w:rPr>
          <w:rFonts w:ascii="Garamond" w:hAnsi="Garamond" w:cs="Arial"/>
          <w:sz w:val="22"/>
          <w:szCs w:val="22"/>
        </w:rPr>
        <w:t>. 2013 Feb 12;77(1):13.</w:t>
      </w:r>
    </w:p>
    <w:p w:rsidR="001E36EB" w:rsidRPr="00083245" w:rsidRDefault="001E36EB" w:rsidP="00BE408E">
      <w:pPr>
        <w:pStyle w:val="ListParagraph"/>
        <w:numPr>
          <w:ilvl w:val="0"/>
          <w:numId w:val="13"/>
        </w:numPr>
        <w:shd w:val="clear" w:color="auto" w:fill="FFFFFF"/>
        <w:spacing w:before="100" w:beforeAutospacing="1" w:after="100" w:afterAutospacing="1" w:line="240" w:lineRule="atLeast"/>
        <w:jc w:val="both"/>
        <w:rPr>
          <w:rFonts w:ascii="Garamond" w:eastAsia="Times New Roman" w:hAnsi="Garamond" w:cs="Times New Roman"/>
        </w:rPr>
      </w:pPr>
      <w:r w:rsidRPr="00083245">
        <w:rPr>
          <w:rFonts w:ascii="Garamond" w:hAnsi="Garamond"/>
        </w:rPr>
        <w:t xml:space="preserve">Morton J, Koval P, Gal P. Pharmacy Residency Match Rates and Predictors. </w:t>
      </w:r>
      <w:r w:rsidRPr="00083245">
        <w:rPr>
          <w:rFonts w:ascii="Garamond" w:eastAsia="Times New Roman" w:hAnsi="Garamond" w:cs="Times New Roman"/>
        </w:rPr>
        <w:t>Am J Pharm Educ. 2013 December 16; 77(10): 212.</w:t>
      </w:r>
    </w:p>
    <w:p w:rsidR="001E36EB" w:rsidRPr="00083245" w:rsidRDefault="001E36EB" w:rsidP="00BE408E">
      <w:pPr>
        <w:pStyle w:val="ListParagraph"/>
        <w:numPr>
          <w:ilvl w:val="0"/>
          <w:numId w:val="13"/>
        </w:numPr>
        <w:shd w:val="clear" w:color="auto" w:fill="FFFFFF"/>
        <w:spacing w:before="100" w:beforeAutospacing="1" w:after="100" w:afterAutospacing="1" w:line="240" w:lineRule="atLeast"/>
        <w:jc w:val="both"/>
        <w:rPr>
          <w:rFonts w:ascii="Garamond" w:eastAsia="Times New Roman" w:hAnsi="Garamond" w:cs="Times New Roman"/>
        </w:rPr>
      </w:pPr>
      <w:r w:rsidRPr="00083245">
        <w:rPr>
          <w:rFonts w:ascii="Garamond" w:eastAsia="Times New Roman" w:hAnsi="Garamond" w:cs="Times New Roman"/>
        </w:rPr>
        <w:t>Alford E., Shrewsbury R.: Impact of Required Versus Optional Remake of a Preparation on Pharmacy Students’ Compounding Accuracy. Am J Pharm Educ 2013 77(4):Article 73.</w:t>
      </w:r>
    </w:p>
    <w:p w:rsidR="001E36EB" w:rsidRDefault="001E36EB" w:rsidP="00BE408E">
      <w:pPr>
        <w:pStyle w:val="ListParagraph"/>
        <w:numPr>
          <w:ilvl w:val="0"/>
          <w:numId w:val="13"/>
        </w:numPr>
        <w:shd w:val="clear" w:color="auto" w:fill="FFFFFF"/>
        <w:spacing w:after="0" w:line="240" w:lineRule="auto"/>
        <w:contextualSpacing w:val="0"/>
        <w:jc w:val="both"/>
        <w:rPr>
          <w:rFonts w:ascii="Garamond" w:eastAsia="Times New Roman" w:hAnsi="Garamond" w:cs="Times New Roman"/>
        </w:rPr>
      </w:pPr>
      <w:r w:rsidRPr="00A91AF7">
        <w:rPr>
          <w:rFonts w:ascii="Garamond" w:eastAsia="Times New Roman" w:hAnsi="Garamond" w:cs="Times New Roman"/>
          <w:bCs/>
        </w:rPr>
        <w:t>Cox W</w:t>
      </w:r>
      <w:r>
        <w:rPr>
          <w:rFonts w:ascii="Garamond" w:eastAsia="Times New Roman" w:hAnsi="Garamond" w:cs="Times New Roman"/>
          <w:bCs/>
        </w:rPr>
        <w:t>C</w:t>
      </w:r>
      <w:r w:rsidRPr="00A91AF7">
        <w:rPr>
          <w:rFonts w:ascii="Garamond" w:eastAsia="Times New Roman" w:hAnsi="Garamond" w:cs="Times New Roman"/>
        </w:rPr>
        <w:t>, Kemp D, Rodgers P. Use of a team-based learning-influenced approach in an ambulatory care course. </w:t>
      </w:r>
      <w:r w:rsidRPr="00A91AF7">
        <w:rPr>
          <w:rFonts w:ascii="Garamond" w:eastAsia="Times New Roman" w:hAnsi="Garamond" w:cs="Times New Roman"/>
          <w:iCs/>
        </w:rPr>
        <w:t>Curr Pharm Teach Learn</w:t>
      </w:r>
      <w:r w:rsidRPr="00A91AF7">
        <w:rPr>
          <w:rFonts w:ascii="Garamond" w:eastAsia="Times New Roman" w:hAnsi="Garamond" w:cs="Times New Roman"/>
          <w:i/>
          <w:iCs/>
        </w:rPr>
        <w:t>.</w:t>
      </w:r>
      <w:r w:rsidRPr="00A91AF7">
        <w:rPr>
          <w:rFonts w:ascii="Garamond" w:eastAsia="Times New Roman" w:hAnsi="Garamond" w:cs="Times New Roman"/>
        </w:rPr>
        <w:t xml:space="preserve"> 2013; 5(5): 424-430.</w:t>
      </w:r>
    </w:p>
    <w:p w:rsidR="00534175" w:rsidRPr="00737877" w:rsidRDefault="00534175" w:rsidP="00737877">
      <w:pPr>
        <w:spacing w:after="0" w:line="240" w:lineRule="auto"/>
        <w:rPr>
          <w:rFonts w:ascii="Garamond" w:hAnsi="Garamond"/>
          <w:b/>
        </w:rPr>
      </w:pPr>
    </w:p>
    <w:sectPr w:rsidR="00534175" w:rsidRPr="00737877" w:rsidSect="00670B41">
      <w:headerReference w:type="default" r:id="rId16"/>
      <w:footerReference w:type="default" r:id="rId17"/>
      <w:headerReference w:type="first" r:id="rId18"/>
      <w:footerReference w:type="first" r:id="rId19"/>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A75" w:rsidRDefault="00B92A75" w:rsidP="00AC11F4">
      <w:pPr>
        <w:spacing w:after="0" w:line="240" w:lineRule="auto"/>
      </w:pPr>
      <w:r>
        <w:separator/>
      </w:r>
    </w:p>
  </w:endnote>
  <w:endnote w:type="continuationSeparator" w:id="0">
    <w:p w:rsidR="00B92A75" w:rsidRDefault="00B92A75" w:rsidP="00AC1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hitney-Medium">
    <w:altName w:val="Times New Roman"/>
    <w:panose1 w:val="00000000000000000000"/>
    <w:charset w:val="00"/>
    <w:family w:val="auto"/>
    <w:notTrueType/>
    <w:pitch w:val="variable"/>
    <w:sig w:usb0="00000001" w:usb1="5000004A"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hitney">
    <w:altName w:val="Times New Roman"/>
    <w:panose1 w:val="00000000000000000000"/>
    <w:charset w:val="00"/>
    <w:family w:val="auto"/>
    <w:notTrueType/>
    <w:pitch w:val="variable"/>
    <w:sig w:usb0="00000001" w:usb1="5000004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7380"/>
      <w:docPartObj>
        <w:docPartGallery w:val="Page Numbers (Bottom of Page)"/>
        <w:docPartUnique/>
      </w:docPartObj>
    </w:sdtPr>
    <w:sdtEndPr>
      <w:rPr>
        <w:color w:val="7F7F7F" w:themeColor="background1" w:themeShade="7F"/>
        <w:spacing w:val="60"/>
      </w:rPr>
    </w:sdtEndPr>
    <w:sdtContent>
      <w:p w:rsidR="00D867F5" w:rsidRDefault="00D867F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A4E0D" w:rsidRPr="00FA4E0D">
          <w:rPr>
            <w:b/>
            <w:bCs/>
            <w:noProof/>
          </w:rPr>
          <w:t>2</w:t>
        </w:r>
        <w:r>
          <w:rPr>
            <w:b/>
            <w:bCs/>
            <w:noProof/>
          </w:rPr>
          <w:fldChar w:fldCharType="end"/>
        </w:r>
        <w:r>
          <w:rPr>
            <w:b/>
            <w:bCs/>
          </w:rPr>
          <w:t xml:space="preserve"> | </w:t>
        </w:r>
        <w:r>
          <w:rPr>
            <w:color w:val="7F7F7F" w:themeColor="background1" w:themeShade="7F"/>
            <w:spacing w:val="60"/>
          </w:rPr>
          <w:t>Page</w:t>
        </w:r>
      </w:p>
    </w:sdtContent>
  </w:sdt>
  <w:p w:rsidR="00D867F5" w:rsidRDefault="00D867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318950"/>
      <w:docPartObj>
        <w:docPartGallery w:val="Page Numbers (Bottom of Page)"/>
        <w:docPartUnique/>
      </w:docPartObj>
    </w:sdtPr>
    <w:sdtEndPr>
      <w:rPr>
        <w:color w:val="7F7F7F" w:themeColor="background1" w:themeShade="7F"/>
        <w:spacing w:val="60"/>
      </w:rPr>
    </w:sdtEndPr>
    <w:sdtContent>
      <w:p w:rsidR="00D867F5" w:rsidRDefault="00D867F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92A75" w:rsidRPr="00B92A75">
          <w:rPr>
            <w:b/>
            <w:bCs/>
            <w:noProof/>
          </w:rPr>
          <w:t>1</w:t>
        </w:r>
        <w:r>
          <w:rPr>
            <w:b/>
            <w:bCs/>
            <w:noProof/>
          </w:rPr>
          <w:fldChar w:fldCharType="end"/>
        </w:r>
        <w:r>
          <w:rPr>
            <w:b/>
            <w:bCs/>
          </w:rPr>
          <w:t xml:space="preserve"> | </w:t>
        </w:r>
        <w:r>
          <w:rPr>
            <w:color w:val="7F7F7F" w:themeColor="background1" w:themeShade="7F"/>
            <w:spacing w:val="60"/>
          </w:rPr>
          <w:t>Page</w:t>
        </w:r>
      </w:p>
    </w:sdtContent>
  </w:sdt>
  <w:p w:rsidR="00D867F5" w:rsidRDefault="00D86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A75" w:rsidRDefault="00B92A75" w:rsidP="00AC11F4">
      <w:pPr>
        <w:spacing w:after="0" w:line="240" w:lineRule="auto"/>
      </w:pPr>
      <w:r>
        <w:separator/>
      </w:r>
    </w:p>
  </w:footnote>
  <w:footnote w:type="continuationSeparator" w:id="0">
    <w:p w:rsidR="00B92A75" w:rsidRDefault="00B92A75" w:rsidP="00AC1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B65" w:rsidRPr="00BB21E4" w:rsidRDefault="00933B65" w:rsidP="00933B65">
    <w:pPr>
      <w:widowControl w:val="0"/>
      <w:autoSpaceDE w:val="0"/>
      <w:autoSpaceDN w:val="0"/>
      <w:spacing w:before="29"/>
      <w:ind w:left="5040" w:firstLine="720"/>
      <w:rPr>
        <w:rFonts w:ascii="Whitney-Medium" w:eastAsia="Whitney-Medium" w:hAnsi="Whitney-Medium" w:cs="Whitney-Medium"/>
        <w:sz w:val="14"/>
        <w:szCs w:val="14"/>
        <w:lang w:bidi="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B41" w:rsidRPr="001A7B52" w:rsidRDefault="00670B41" w:rsidP="00670B41">
    <w:pPr>
      <w:spacing w:line="280" w:lineRule="auto"/>
      <w:ind w:left="5220" w:firstLine="2"/>
      <w:rPr>
        <w:color w:val="231F20"/>
        <w:sz w:val="16"/>
        <w:szCs w:val="16"/>
      </w:rPr>
    </w:pPr>
  </w:p>
  <w:p w:rsidR="00670B41" w:rsidRDefault="00670B41" w:rsidP="00670B41">
    <w:pPr>
      <w:spacing w:after="0" w:line="240" w:lineRule="auto"/>
      <w:ind w:left="5227"/>
      <w:rPr>
        <w:rFonts w:ascii="Whitney"/>
        <w:b/>
        <w:color w:val="231F20"/>
        <w:sz w:val="14"/>
      </w:rPr>
    </w:pPr>
    <w:r>
      <w:rPr>
        <w:noProof/>
      </w:rPr>
      <mc:AlternateContent>
        <mc:Choice Requires="wpg">
          <w:drawing>
            <wp:anchor distT="0" distB="0" distL="114300" distR="114300" simplePos="0" relativeHeight="251668480" behindDoc="0" locked="0" layoutInCell="1" allowOverlap="1" wp14:anchorId="402AA0F7" wp14:editId="3E6DF22E">
              <wp:simplePos x="0" y="0"/>
              <wp:positionH relativeFrom="page">
                <wp:posOffset>2217420</wp:posOffset>
              </wp:positionH>
              <wp:positionV relativeFrom="paragraph">
                <wp:posOffset>67310</wp:posOffset>
              </wp:positionV>
              <wp:extent cx="721360" cy="98425"/>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360" cy="98425"/>
                        <a:chOff x="3492" y="106"/>
                        <a:chExt cx="1136" cy="155"/>
                      </a:xfrm>
                    </wpg:grpSpPr>
                    <pic:pic xmlns:pic="http://schemas.openxmlformats.org/drawingml/2006/picture">
                      <pic:nvPicPr>
                        <pic:cNvPr id="5"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3492" y="105"/>
                          <a:ext cx="380"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3906" y="106"/>
                          <a:ext cx="722"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908176" id="Group 5" o:spid="_x0000_s1026" style="position:absolute;margin-left:174.6pt;margin-top:5.3pt;width:56.8pt;height:7.75pt;z-index:251668480;mso-position-horizontal-relative:page" coordorigin="3492,106" coordsize="1136,1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492;top:105;width:380;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">
                <v:imagedata r:id="rId3" o:title=""/>
                <v:path arrowok="t"/>
                <o:lock v:ext="edit" aspectratio="f"/>
              </v:shape>
              <v:shape id="Picture 6" o:spid="_x0000_s1028" type="#_x0000_t75" style="position:absolute;left:3906;top:106;width:722;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">
                <v:imagedata r:id="rId4" o:title=""/>
                <v:path arrowok="t"/>
                <o:lock v:ext="edit" aspectratio="f"/>
              </v:shape>
              <w10:wrap anchorx="page"/>
            </v:group>
          </w:pict>
        </mc:Fallback>
      </mc:AlternateContent>
    </w:r>
    <w:r>
      <w:rPr>
        <w:noProof/>
      </w:rPr>
      <mc:AlternateContent>
        <mc:Choice Requires="wps">
          <w:drawing>
            <wp:anchor distT="0" distB="0" distL="114300" distR="114300" simplePos="0" relativeHeight="251669504" behindDoc="0" locked="0" layoutInCell="1" allowOverlap="1" wp14:anchorId="1AF0AF5F" wp14:editId="1E848F21">
              <wp:simplePos x="0" y="0"/>
              <wp:positionH relativeFrom="page">
                <wp:posOffset>2987675</wp:posOffset>
              </wp:positionH>
              <wp:positionV relativeFrom="paragraph">
                <wp:posOffset>66675</wp:posOffset>
              </wp:positionV>
              <wp:extent cx="541655" cy="99695"/>
              <wp:effectExtent l="0" t="0" r="0"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655" cy="99695"/>
                      </a:xfrm>
                      <a:custGeom>
                        <a:avLst/>
                        <a:gdLst>
                          <a:gd name="T0" fmla="+- 0 4802 4705"/>
                          <a:gd name="T1" fmla="*/ T0 w 853"/>
                          <a:gd name="T2" fmla="+- 0 185 105"/>
                          <a:gd name="T3" fmla="*/ 185 h 157"/>
                          <a:gd name="T4" fmla="+- 0 4747 4705"/>
                          <a:gd name="T5" fmla="*/ T4 w 853"/>
                          <a:gd name="T6" fmla="+- 0 158 105"/>
                          <a:gd name="T7" fmla="*/ 158 h 157"/>
                          <a:gd name="T8" fmla="+- 0 4749 4705"/>
                          <a:gd name="T9" fmla="*/ T8 w 853"/>
                          <a:gd name="T10" fmla="+- 0 135 105"/>
                          <a:gd name="T11" fmla="*/ 135 h 157"/>
                          <a:gd name="T12" fmla="+- 0 4779 4705"/>
                          <a:gd name="T13" fmla="*/ T12 w 853"/>
                          <a:gd name="T14" fmla="+- 0 138 105"/>
                          <a:gd name="T15" fmla="*/ 138 h 157"/>
                          <a:gd name="T16" fmla="+- 0 4802 4705"/>
                          <a:gd name="T17" fmla="*/ T16 w 853"/>
                          <a:gd name="T18" fmla="+- 0 135 105"/>
                          <a:gd name="T19" fmla="*/ 135 h 157"/>
                          <a:gd name="T20" fmla="+- 0 4785 4705"/>
                          <a:gd name="T21" fmla="*/ T20 w 853"/>
                          <a:gd name="T22" fmla="+- 0 108 105"/>
                          <a:gd name="T23" fmla="*/ 108 h 157"/>
                          <a:gd name="T24" fmla="+- 0 4739 4705"/>
                          <a:gd name="T25" fmla="*/ T24 w 853"/>
                          <a:gd name="T26" fmla="+- 0 109 105"/>
                          <a:gd name="T27" fmla="*/ 109 h 157"/>
                          <a:gd name="T28" fmla="+- 0 4708 4705"/>
                          <a:gd name="T29" fmla="*/ T28 w 853"/>
                          <a:gd name="T30" fmla="+- 0 150 105"/>
                          <a:gd name="T31" fmla="*/ 150 h 157"/>
                          <a:gd name="T32" fmla="+- 0 4732 4705"/>
                          <a:gd name="T33" fmla="*/ T32 w 853"/>
                          <a:gd name="T34" fmla="+- 0 188 105"/>
                          <a:gd name="T35" fmla="*/ 188 h 157"/>
                          <a:gd name="T36" fmla="+- 0 4777 4705"/>
                          <a:gd name="T37" fmla="*/ T36 w 853"/>
                          <a:gd name="T38" fmla="+- 0 209 105"/>
                          <a:gd name="T39" fmla="*/ 209 h 157"/>
                          <a:gd name="T40" fmla="+- 0 4759 4705"/>
                          <a:gd name="T41" fmla="*/ T40 w 853"/>
                          <a:gd name="T42" fmla="+- 0 231 105"/>
                          <a:gd name="T43" fmla="*/ 231 h 157"/>
                          <a:gd name="T44" fmla="+- 0 4723 4705"/>
                          <a:gd name="T45" fmla="*/ T44 w 853"/>
                          <a:gd name="T46" fmla="+- 0 223 105"/>
                          <a:gd name="T47" fmla="*/ 223 h 157"/>
                          <a:gd name="T48" fmla="+- 0 4717 4705"/>
                          <a:gd name="T49" fmla="*/ T48 w 853"/>
                          <a:gd name="T50" fmla="+- 0 253 105"/>
                          <a:gd name="T51" fmla="*/ 253 h 157"/>
                          <a:gd name="T52" fmla="+- 0 4758 4705"/>
                          <a:gd name="T53" fmla="*/ T52 w 853"/>
                          <a:gd name="T54" fmla="+- 0 260 105"/>
                          <a:gd name="T55" fmla="*/ 260 h 157"/>
                          <a:gd name="T56" fmla="+- 0 4808 4705"/>
                          <a:gd name="T57" fmla="*/ T56 w 853"/>
                          <a:gd name="T58" fmla="+- 0 234 105"/>
                          <a:gd name="T59" fmla="*/ 234 h 157"/>
                          <a:gd name="T60" fmla="+- 0 4949 4705"/>
                          <a:gd name="T61" fmla="*/ T60 w 853"/>
                          <a:gd name="T62" fmla="+- 0 249 105"/>
                          <a:gd name="T63" fmla="*/ 249 h 157"/>
                          <a:gd name="T64" fmla="+- 0 4933 4705"/>
                          <a:gd name="T65" fmla="*/ T64 w 853"/>
                          <a:gd name="T66" fmla="+- 0 225 105"/>
                          <a:gd name="T67" fmla="*/ 225 h 157"/>
                          <a:gd name="T68" fmla="+- 0 4893 4705"/>
                          <a:gd name="T69" fmla="*/ T68 w 853"/>
                          <a:gd name="T70" fmla="+- 0 227 105"/>
                          <a:gd name="T71" fmla="*/ 227 h 157"/>
                          <a:gd name="T72" fmla="+- 0 4870 4705"/>
                          <a:gd name="T73" fmla="*/ T72 w 853"/>
                          <a:gd name="T74" fmla="+- 0 183 105"/>
                          <a:gd name="T75" fmla="*/ 183 h 157"/>
                          <a:gd name="T76" fmla="+- 0 4892 4705"/>
                          <a:gd name="T77" fmla="*/ T76 w 853"/>
                          <a:gd name="T78" fmla="+- 0 139 105"/>
                          <a:gd name="T79" fmla="*/ 139 h 157"/>
                          <a:gd name="T80" fmla="+- 0 4932 4705"/>
                          <a:gd name="T81" fmla="*/ T80 w 853"/>
                          <a:gd name="T82" fmla="+- 0 141 105"/>
                          <a:gd name="T83" fmla="*/ 141 h 157"/>
                          <a:gd name="T84" fmla="+- 0 4946 4705"/>
                          <a:gd name="T85" fmla="*/ T84 w 853"/>
                          <a:gd name="T86" fmla="+- 0 115 105"/>
                          <a:gd name="T87" fmla="*/ 115 h 157"/>
                          <a:gd name="T88" fmla="+- 0 4918 4705"/>
                          <a:gd name="T89" fmla="*/ T88 w 853"/>
                          <a:gd name="T90" fmla="+- 0 105 105"/>
                          <a:gd name="T91" fmla="*/ 105 h 157"/>
                          <a:gd name="T92" fmla="+- 0 4852 4705"/>
                          <a:gd name="T93" fmla="*/ T92 w 853"/>
                          <a:gd name="T94" fmla="+- 0 126 105"/>
                          <a:gd name="T95" fmla="*/ 126 h 157"/>
                          <a:gd name="T96" fmla="+- 0 4837 4705"/>
                          <a:gd name="T97" fmla="*/ T96 w 853"/>
                          <a:gd name="T98" fmla="+- 0 215 105"/>
                          <a:gd name="T99" fmla="*/ 215 h 157"/>
                          <a:gd name="T100" fmla="+- 0 4905 4705"/>
                          <a:gd name="T101" fmla="*/ T100 w 853"/>
                          <a:gd name="T102" fmla="+- 0 261 105"/>
                          <a:gd name="T103" fmla="*/ 261 h 157"/>
                          <a:gd name="T104" fmla="+- 0 4939 4705"/>
                          <a:gd name="T105" fmla="*/ T104 w 853"/>
                          <a:gd name="T106" fmla="+- 0 254 105"/>
                          <a:gd name="T107" fmla="*/ 254 h 157"/>
                          <a:gd name="T108" fmla="+- 0 5065 4705"/>
                          <a:gd name="T109" fmla="*/ T108 w 853"/>
                          <a:gd name="T110" fmla="+- 0 107 105"/>
                          <a:gd name="T111" fmla="*/ 107 h 157"/>
                          <a:gd name="T112" fmla="+- 0 5013 4705"/>
                          <a:gd name="T113" fmla="*/ T112 w 853"/>
                          <a:gd name="T114" fmla="+- 0 107 105"/>
                          <a:gd name="T115" fmla="*/ 107 h 157"/>
                          <a:gd name="T116" fmla="+- 0 5013 4705"/>
                          <a:gd name="T117" fmla="*/ T116 w 853"/>
                          <a:gd name="T118" fmla="+- 0 258 105"/>
                          <a:gd name="T119" fmla="*/ 258 h 157"/>
                          <a:gd name="T120" fmla="+- 0 5065 4705"/>
                          <a:gd name="T121" fmla="*/ T120 w 853"/>
                          <a:gd name="T122" fmla="+- 0 258 105"/>
                          <a:gd name="T123" fmla="*/ 258 h 157"/>
                          <a:gd name="T124" fmla="+- 0 5103 4705"/>
                          <a:gd name="T125" fmla="*/ T124 w 853"/>
                          <a:gd name="T126" fmla="+- 0 165 105"/>
                          <a:gd name="T127" fmla="*/ 165 h 157"/>
                          <a:gd name="T128" fmla="+- 0 5270 4705"/>
                          <a:gd name="T129" fmla="*/ T128 w 853"/>
                          <a:gd name="T130" fmla="+- 0 151 105"/>
                          <a:gd name="T131" fmla="*/ 151 h 157"/>
                          <a:gd name="T132" fmla="+- 0 5238 4705"/>
                          <a:gd name="T133" fmla="*/ T132 w 853"/>
                          <a:gd name="T134" fmla="+- 0 114 105"/>
                          <a:gd name="T135" fmla="*/ 114 h 157"/>
                          <a:gd name="T136" fmla="+- 0 5235 4705"/>
                          <a:gd name="T137" fmla="*/ T136 w 853"/>
                          <a:gd name="T138" fmla="+- 0 203 105"/>
                          <a:gd name="T139" fmla="*/ 203 h 157"/>
                          <a:gd name="T140" fmla="+- 0 5203 4705"/>
                          <a:gd name="T141" fmla="*/ T140 w 853"/>
                          <a:gd name="T142" fmla="+- 0 232 105"/>
                          <a:gd name="T143" fmla="*/ 232 h 157"/>
                          <a:gd name="T144" fmla="+- 0 5171 4705"/>
                          <a:gd name="T145" fmla="*/ T144 w 853"/>
                          <a:gd name="T146" fmla="+- 0 203 105"/>
                          <a:gd name="T147" fmla="*/ 203 h 157"/>
                          <a:gd name="T148" fmla="+- 0 5171 4705"/>
                          <a:gd name="T149" fmla="*/ T148 w 853"/>
                          <a:gd name="T150" fmla="+- 0 163 105"/>
                          <a:gd name="T151" fmla="*/ 163 h 157"/>
                          <a:gd name="T152" fmla="+- 0 5203 4705"/>
                          <a:gd name="T153" fmla="*/ T152 w 853"/>
                          <a:gd name="T154" fmla="+- 0 134 105"/>
                          <a:gd name="T155" fmla="*/ 134 h 157"/>
                          <a:gd name="T156" fmla="+- 0 5235 4705"/>
                          <a:gd name="T157" fmla="*/ T156 w 853"/>
                          <a:gd name="T158" fmla="+- 0 163 105"/>
                          <a:gd name="T159" fmla="*/ 163 h 157"/>
                          <a:gd name="T160" fmla="+- 0 5233 4705"/>
                          <a:gd name="T161" fmla="*/ T160 w 853"/>
                          <a:gd name="T162" fmla="+- 0 110 105"/>
                          <a:gd name="T163" fmla="*/ 110 h 157"/>
                          <a:gd name="T164" fmla="+- 0 5151 4705"/>
                          <a:gd name="T165" fmla="*/ T164 w 853"/>
                          <a:gd name="T166" fmla="+- 0 126 105"/>
                          <a:gd name="T167" fmla="*/ 126 h 157"/>
                          <a:gd name="T168" fmla="+- 0 5136 4705"/>
                          <a:gd name="T169" fmla="*/ T168 w 853"/>
                          <a:gd name="T170" fmla="+- 0 215 105"/>
                          <a:gd name="T171" fmla="*/ 215 h 157"/>
                          <a:gd name="T172" fmla="+- 0 5203 4705"/>
                          <a:gd name="T173" fmla="*/ T172 w 853"/>
                          <a:gd name="T174" fmla="+- 0 261 105"/>
                          <a:gd name="T175" fmla="*/ 261 h 157"/>
                          <a:gd name="T176" fmla="+- 0 5260 4705"/>
                          <a:gd name="T177" fmla="*/ T176 w 853"/>
                          <a:gd name="T178" fmla="+- 0 232 105"/>
                          <a:gd name="T179" fmla="*/ 232 h 157"/>
                          <a:gd name="T180" fmla="+- 0 5441 4705"/>
                          <a:gd name="T181" fmla="*/ T180 w 853"/>
                          <a:gd name="T182" fmla="+- 0 183 105"/>
                          <a:gd name="T183" fmla="*/ 183 h 157"/>
                          <a:gd name="T184" fmla="+- 0 5422 4705"/>
                          <a:gd name="T185" fmla="*/ T184 w 853"/>
                          <a:gd name="T186" fmla="+- 0 126 105"/>
                          <a:gd name="T187" fmla="*/ 126 h 157"/>
                          <a:gd name="T188" fmla="+- 0 5404 4705"/>
                          <a:gd name="T189" fmla="*/ T188 w 853"/>
                          <a:gd name="T190" fmla="+- 0 183 105"/>
                          <a:gd name="T191" fmla="*/ 183 h 157"/>
                          <a:gd name="T192" fmla="+- 0 5384 4705"/>
                          <a:gd name="T193" fmla="*/ T192 w 853"/>
                          <a:gd name="T194" fmla="+- 0 228 105"/>
                          <a:gd name="T195" fmla="*/ 228 h 157"/>
                          <a:gd name="T196" fmla="+- 0 5344 4705"/>
                          <a:gd name="T197" fmla="*/ T196 w 853"/>
                          <a:gd name="T198" fmla="+- 0 219 105"/>
                          <a:gd name="T199" fmla="*/ 219 h 157"/>
                          <a:gd name="T200" fmla="+- 0 5335 4705"/>
                          <a:gd name="T201" fmla="*/ T200 w 853"/>
                          <a:gd name="T202" fmla="+- 0 183 105"/>
                          <a:gd name="T203" fmla="*/ 183 h 157"/>
                          <a:gd name="T204" fmla="+- 0 5355 4705"/>
                          <a:gd name="T205" fmla="*/ T204 w 853"/>
                          <a:gd name="T206" fmla="+- 0 137 105"/>
                          <a:gd name="T207" fmla="*/ 137 h 157"/>
                          <a:gd name="T208" fmla="+- 0 5395 4705"/>
                          <a:gd name="T209" fmla="*/ T208 w 853"/>
                          <a:gd name="T210" fmla="+- 0 147 105"/>
                          <a:gd name="T211" fmla="*/ 147 h 157"/>
                          <a:gd name="T212" fmla="+- 0 5404 4705"/>
                          <a:gd name="T213" fmla="*/ T212 w 853"/>
                          <a:gd name="T214" fmla="+- 0 114 105"/>
                          <a:gd name="T215" fmla="*/ 114 h 157"/>
                          <a:gd name="T216" fmla="+- 0 5340 4705"/>
                          <a:gd name="T217" fmla="*/ T216 w 853"/>
                          <a:gd name="T218" fmla="+- 0 110 105"/>
                          <a:gd name="T219" fmla="*/ 110 h 157"/>
                          <a:gd name="T220" fmla="+- 0 5297 4705"/>
                          <a:gd name="T221" fmla="*/ T220 w 853"/>
                          <a:gd name="T222" fmla="+- 0 183 105"/>
                          <a:gd name="T223" fmla="*/ 183 h 157"/>
                          <a:gd name="T224" fmla="+- 0 5340 4705"/>
                          <a:gd name="T225" fmla="*/ T224 w 853"/>
                          <a:gd name="T226" fmla="+- 0 256 105"/>
                          <a:gd name="T227" fmla="*/ 256 h 157"/>
                          <a:gd name="T228" fmla="+- 0 5422 4705"/>
                          <a:gd name="T229" fmla="*/ T228 w 853"/>
                          <a:gd name="T230" fmla="+- 0 239 105"/>
                          <a:gd name="T231" fmla="*/ 239 h 157"/>
                          <a:gd name="T232" fmla="+- 0 5441 4705"/>
                          <a:gd name="T233" fmla="*/ T232 w 853"/>
                          <a:gd name="T234" fmla="+- 0 183 105"/>
                          <a:gd name="T235" fmla="*/ 183 h 157"/>
                          <a:gd name="T236" fmla="+- 0 5507 4705"/>
                          <a:gd name="T237" fmla="*/ T236 w 853"/>
                          <a:gd name="T238" fmla="+- 0 226 105"/>
                          <a:gd name="T239" fmla="*/ 226 h 157"/>
                          <a:gd name="T240" fmla="+- 0 5470 4705"/>
                          <a:gd name="T241" fmla="*/ T240 w 853"/>
                          <a:gd name="T242" fmla="+- 0 258 105"/>
                          <a:gd name="T243" fmla="*/ 258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853" h="157">
                            <a:moveTo>
                              <a:pt x="107" y="108"/>
                            </a:moveTo>
                            <a:lnTo>
                              <a:pt x="105" y="92"/>
                            </a:lnTo>
                            <a:lnTo>
                              <a:pt x="97" y="80"/>
                            </a:lnTo>
                            <a:lnTo>
                              <a:pt x="82" y="70"/>
                            </a:lnTo>
                            <a:lnTo>
                              <a:pt x="61" y="60"/>
                            </a:lnTo>
                            <a:lnTo>
                              <a:pt x="42" y="53"/>
                            </a:lnTo>
                            <a:lnTo>
                              <a:pt x="38" y="49"/>
                            </a:lnTo>
                            <a:lnTo>
                              <a:pt x="38" y="35"/>
                            </a:lnTo>
                            <a:lnTo>
                              <a:pt x="44" y="30"/>
                            </a:lnTo>
                            <a:lnTo>
                              <a:pt x="55" y="30"/>
                            </a:lnTo>
                            <a:lnTo>
                              <a:pt x="64" y="31"/>
                            </a:lnTo>
                            <a:lnTo>
                              <a:pt x="74" y="33"/>
                            </a:lnTo>
                            <a:lnTo>
                              <a:pt x="84" y="37"/>
                            </a:lnTo>
                            <a:lnTo>
                              <a:pt x="95" y="42"/>
                            </a:lnTo>
                            <a:lnTo>
                              <a:pt x="97" y="30"/>
                            </a:lnTo>
                            <a:lnTo>
                              <a:pt x="100" y="11"/>
                            </a:lnTo>
                            <a:lnTo>
                              <a:pt x="90" y="7"/>
                            </a:lnTo>
                            <a:lnTo>
                              <a:pt x="80" y="3"/>
                            </a:lnTo>
                            <a:lnTo>
                              <a:pt x="68" y="1"/>
                            </a:lnTo>
                            <a:lnTo>
                              <a:pt x="55" y="1"/>
                            </a:lnTo>
                            <a:lnTo>
                              <a:pt x="34" y="4"/>
                            </a:lnTo>
                            <a:lnTo>
                              <a:pt x="18" y="12"/>
                            </a:lnTo>
                            <a:lnTo>
                              <a:pt x="7" y="26"/>
                            </a:lnTo>
                            <a:lnTo>
                              <a:pt x="3" y="45"/>
                            </a:lnTo>
                            <a:lnTo>
                              <a:pt x="6" y="61"/>
                            </a:lnTo>
                            <a:lnTo>
                              <a:pt x="13" y="74"/>
                            </a:lnTo>
                            <a:lnTo>
                              <a:pt x="27" y="83"/>
                            </a:lnTo>
                            <a:lnTo>
                              <a:pt x="46" y="92"/>
                            </a:lnTo>
                            <a:lnTo>
                              <a:pt x="68" y="100"/>
                            </a:lnTo>
                            <a:lnTo>
                              <a:pt x="72" y="104"/>
                            </a:lnTo>
                            <a:lnTo>
                              <a:pt x="72" y="121"/>
                            </a:lnTo>
                            <a:lnTo>
                              <a:pt x="65" y="126"/>
                            </a:lnTo>
                            <a:lnTo>
                              <a:pt x="54" y="126"/>
                            </a:lnTo>
                            <a:lnTo>
                              <a:pt x="42" y="125"/>
                            </a:lnTo>
                            <a:lnTo>
                              <a:pt x="30" y="122"/>
                            </a:lnTo>
                            <a:lnTo>
                              <a:pt x="18" y="118"/>
                            </a:lnTo>
                            <a:lnTo>
                              <a:pt x="6" y="112"/>
                            </a:lnTo>
                            <a:lnTo>
                              <a:pt x="0" y="144"/>
                            </a:lnTo>
                            <a:lnTo>
                              <a:pt x="12" y="148"/>
                            </a:lnTo>
                            <a:lnTo>
                              <a:pt x="25" y="152"/>
                            </a:lnTo>
                            <a:lnTo>
                              <a:pt x="39" y="154"/>
                            </a:lnTo>
                            <a:lnTo>
                              <a:pt x="53" y="155"/>
                            </a:lnTo>
                            <a:lnTo>
                              <a:pt x="74" y="152"/>
                            </a:lnTo>
                            <a:lnTo>
                              <a:pt x="91" y="144"/>
                            </a:lnTo>
                            <a:lnTo>
                              <a:pt x="103" y="129"/>
                            </a:lnTo>
                            <a:lnTo>
                              <a:pt x="104" y="126"/>
                            </a:lnTo>
                            <a:lnTo>
                              <a:pt x="107" y="108"/>
                            </a:lnTo>
                            <a:moveTo>
                              <a:pt x="244" y="144"/>
                            </a:moveTo>
                            <a:lnTo>
                              <a:pt x="240" y="125"/>
                            </a:lnTo>
                            <a:lnTo>
                              <a:pt x="239" y="113"/>
                            </a:lnTo>
                            <a:lnTo>
                              <a:pt x="228" y="120"/>
                            </a:lnTo>
                            <a:lnTo>
                              <a:pt x="217" y="125"/>
                            </a:lnTo>
                            <a:lnTo>
                              <a:pt x="204" y="125"/>
                            </a:lnTo>
                            <a:lnTo>
                              <a:pt x="188" y="122"/>
                            </a:lnTo>
                            <a:lnTo>
                              <a:pt x="176" y="112"/>
                            </a:lnTo>
                            <a:lnTo>
                              <a:pt x="168" y="98"/>
                            </a:lnTo>
                            <a:lnTo>
                              <a:pt x="165" y="78"/>
                            </a:lnTo>
                            <a:lnTo>
                              <a:pt x="168" y="58"/>
                            </a:lnTo>
                            <a:lnTo>
                              <a:pt x="175" y="44"/>
                            </a:lnTo>
                            <a:lnTo>
                              <a:pt x="187" y="34"/>
                            </a:lnTo>
                            <a:lnTo>
                              <a:pt x="203" y="31"/>
                            </a:lnTo>
                            <a:lnTo>
                              <a:pt x="217" y="31"/>
                            </a:lnTo>
                            <a:lnTo>
                              <a:pt x="227" y="36"/>
                            </a:lnTo>
                            <a:lnTo>
                              <a:pt x="236" y="43"/>
                            </a:lnTo>
                            <a:lnTo>
                              <a:pt x="238" y="31"/>
                            </a:lnTo>
                            <a:lnTo>
                              <a:pt x="241" y="10"/>
                            </a:lnTo>
                            <a:lnTo>
                              <a:pt x="233" y="5"/>
                            </a:lnTo>
                            <a:lnTo>
                              <a:pt x="223" y="2"/>
                            </a:lnTo>
                            <a:lnTo>
                              <a:pt x="213" y="0"/>
                            </a:lnTo>
                            <a:lnTo>
                              <a:pt x="202" y="0"/>
                            </a:lnTo>
                            <a:lnTo>
                              <a:pt x="171" y="5"/>
                            </a:lnTo>
                            <a:lnTo>
                              <a:pt x="147" y="21"/>
                            </a:lnTo>
                            <a:lnTo>
                              <a:pt x="133" y="46"/>
                            </a:lnTo>
                            <a:lnTo>
                              <a:pt x="127" y="78"/>
                            </a:lnTo>
                            <a:lnTo>
                              <a:pt x="132" y="110"/>
                            </a:lnTo>
                            <a:lnTo>
                              <a:pt x="147" y="135"/>
                            </a:lnTo>
                            <a:lnTo>
                              <a:pt x="169" y="151"/>
                            </a:lnTo>
                            <a:lnTo>
                              <a:pt x="200" y="156"/>
                            </a:lnTo>
                            <a:lnTo>
                              <a:pt x="212" y="155"/>
                            </a:lnTo>
                            <a:lnTo>
                              <a:pt x="224" y="153"/>
                            </a:lnTo>
                            <a:lnTo>
                              <a:pt x="234" y="149"/>
                            </a:lnTo>
                            <a:lnTo>
                              <a:pt x="244" y="144"/>
                            </a:lnTo>
                            <a:moveTo>
                              <a:pt x="398" y="2"/>
                            </a:moveTo>
                            <a:lnTo>
                              <a:pt x="360" y="2"/>
                            </a:lnTo>
                            <a:lnTo>
                              <a:pt x="360" y="60"/>
                            </a:lnTo>
                            <a:lnTo>
                              <a:pt x="308" y="60"/>
                            </a:lnTo>
                            <a:lnTo>
                              <a:pt x="308" y="2"/>
                            </a:lnTo>
                            <a:lnTo>
                              <a:pt x="271" y="2"/>
                            </a:lnTo>
                            <a:lnTo>
                              <a:pt x="271" y="153"/>
                            </a:lnTo>
                            <a:lnTo>
                              <a:pt x="308" y="153"/>
                            </a:lnTo>
                            <a:lnTo>
                              <a:pt x="308" y="92"/>
                            </a:lnTo>
                            <a:lnTo>
                              <a:pt x="360" y="92"/>
                            </a:lnTo>
                            <a:lnTo>
                              <a:pt x="360" y="153"/>
                            </a:lnTo>
                            <a:lnTo>
                              <a:pt x="398" y="153"/>
                            </a:lnTo>
                            <a:lnTo>
                              <a:pt x="398" y="92"/>
                            </a:lnTo>
                            <a:lnTo>
                              <a:pt x="398" y="60"/>
                            </a:lnTo>
                            <a:lnTo>
                              <a:pt x="398" y="2"/>
                            </a:lnTo>
                            <a:moveTo>
                              <a:pt x="570" y="78"/>
                            </a:moveTo>
                            <a:lnTo>
                              <a:pt x="565" y="46"/>
                            </a:lnTo>
                            <a:lnTo>
                              <a:pt x="555" y="29"/>
                            </a:lnTo>
                            <a:lnTo>
                              <a:pt x="551" y="21"/>
                            </a:lnTo>
                            <a:lnTo>
                              <a:pt x="533" y="9"/>
                            </a:lnTo>
                            <a:lnTo>
                              <a:pt x="533" y="78"/>
                            </a:lnTo>
                            <a:lnTo>
                              <a:pt x="530" y="98"/>
                            </a:lnTo>
                            <a:lnTo>
                              <a:pt x="524" y="114"/>
                            </a:lnTo>
                            <a:lnTo>
                              <a:pt x="513" y="123"/>
                            </a:lnTo>
                            <a:lnTo>
                              <a:pt x="498" y="127"/>
                            </a:lnTo>
                            <a:lnTo>
                              <a:pt x="484" y="123"/>
                            </a:lnTo>
                            <a:lnTo>
                              <a:pt x="473" y="114"/>
                            </a:lnTo>
                            <a:lnTo>
                              <a:pt x="466" y="98"/>
                            </a:lnTo>
                            <a:lnTo>
                              <a:pt x="464" y="78"/>
                            </a:lnTo>
                            <a:lnTo>
                              <a:pt x="466" y="58"/>
                            </a:lnTo>
                            <a:lnTo>
                              <a:pt x="473" y="42"/>
                            </a:lnTo>
                            <a:lnTo>
                              <a:pt x="484" y="32"/>
                            </a:lnTo>
                            <a:lnTo>
                              <a:pt x="498" y="29"/>
                            </a:lnTo>
                            <a:lnTo>
                              <a:pt x="513" y="32"/>
                            </a:lnTo>
                            <a:lnTo>
                              <a:pt x="524" y="42"/>
                            </a:lnTo>
                            <a:lnTo>
                              <a:pt x="530" y="58"/>
                            </a:lnTo>
                            <a:lnTo>
                              <a:pt x="533" y="78"/>
                            </a:lnTo>
                            <a:lnTo>
                              <a:pt x="533" y="9"/>
                            </a:lnTo>
                            <a:lnTo>
                              <a:pt x="528" y="5"/>
                            </a:lnTo>
                            <a:lnTo>
                              <a:pt x="498" y="0"/>
                            </a:lnTo>
                            <a:lnTo>
                              <a:pt x="469" y="5"/>
                            </a:lnTo>
                            <a:lnTo>
                              <a:pt x="446" y="21"/>
                            </a:lnTo>
                            <a:lnTo>
                              <a:pt x="431" y="46"/>
                            </a:lnTo>
                            <a:lnTo>
                              <a:pt x="426" y="78"/>
                            </a:lnTo>
                            <a:lnTo>
                              <a:pt x="431" y="110"/>
                            </a:lnTo>
                            <a:lnTo>
                              <a:pt x="446" y="135"/>
                            </a:lnTo>
                            <a:lnTo>
                              <a:pt x="468" y="151"/>
                            </a:lnTo>
                            <a:lnTo>
                              <a:pt x="498" y="156"/>
                            </a:lnTo>
                            <a:lnTo>
                              <a:pt x="528" y="150"/>
                            </a:lnTo>
                            <a:lnTo>
                              <a:pt x="550" y="134"/>
                            </a:lnTo>
                            <a:lnTo>
                              <a:pt x="555" y="127"/>
                            </a:lnTo>
                            <a:lnTo>
                              <a:pt x="565" y="110"/>
                            </a:lnTo>
                            <a:lnTo>
                              <a:pt x="570" y="78"/>
                            </a:lnTo>
                            <a:moveTo>
                              <a:pt x="736" y="78"/>
                            </a:moveTo>
                            <a:lnTo>
                              <a:pt x="731" y="46"/>
                            </a:lnTo>
                            <a:lnTo>
                              <a:pt x="721" y="29"/>
                            </a:lnTo>
                            <a:lnTo>
                              <a:pt x="717" y="21"/>
                            </a:lnTo>
                            <a:lnTo>
                              <a:pt x="699" y="9"/>
                            </a:lnTo>
                            <a:lnTo>
                              <a:pt x="699" y="78"/>
                            </a:lnTo>
                            <a:lnTo>
                              <a:pt x="696" y="98"/>
                            </a:lnTo>
                            <a:lnTo>
                              <a:pt x="690" y="114"/>
                            </a:lnTo>
                            <a:lnTo>
                              <a:pt x="679" y="123"/>
                            </a:lnTo>
                            <a:lnTo>
                              <a:pt x="664" y="127"/>
                            </a:lnTo>
                            <a:lnTo>
                              <a:pt x="650" y="123"/>
                            </a:lnTo>
                            <a:lnTo>
                              <a:pt x="639" y="114"/>
                            </a:lnTo>
                            <a:lnTo>
                              <a:pt x="632" y="98"/>
                            </a:lnTo>
                            <a:lnTo>
                              <a:pt x="630" y="78"/>
                            </a:lnTo>
                            <a:lnTo>
                              <a:pt x="632" y="58"/>
                            </a:lnTo>
                            <a:lnTo>
                              <a:pt x="639" y="42"/>
                            </a:lnTo>
                            <a:lnTo>
                              <a:pt x="650" y="32"/>
                            </a:lnTo>
                            <a:lnTo>
                              <a:pt x="664" y="29"/>
                            </a:lnTo>
                            <a:lnTo>
                              <a:pt x="679" y="32"/>
                            </a:lnTo>
                            <a:lnTo>
                              <a:pt x="690" y="42"/>
                            </a:lnTo>
                            <a:lnTo>
                              <a:pt x="696" y="58"/>
                            </a:lnTo>
                            <a:lnTo>
                              <a:pt x="699" y="78"/>
                            </a:lnTo>
                            <a:lnTo>
                              <a:pt x="699" y="9"/>
                            </a:lnTo>
                            <a:lnTo>
                              <a:pt x="694" y="5"/>
                            </a:lnTo>
                            <a:lnTo>
                              <a:pt x="664" y="0"/>
                            </a:lnTo>
                            <a:lnTo>
                              <a:pt x="635" y="5"/>
                            </a:lnTo>
                            <a:lnTo>
                              <a:pt x="612" y="21"/>
                            </a:lnTo>
                            <a:lnTo>
                              <a:pt x="597" y="46"/>
                            </a:lnTo>
                            <a:lnTo>
                              <a:pt x="592" y="78"/>
                            </a:lnTo>
                            <a:lnTo>
                              <a:pt x="597" y="110"/>
                            </a:lnTo>
                            <a:lnTo>
                              <a:pt x="612" y="135"/>
                            </a:lnTo>
                            <a:lnTo>
                              <a:pt x="635" y="151"/>
                            </a:lnTo>
                            <a:lnTo>
                              <a:pt x="664" y="156"/>
                            </a:lnTo>
                            <a:lnTo>
                              <a:pt x="694" y="150"/>
                            </a:lnTo>
                            <a:lnTo>
                              <a:pt x="717" y="134"/>
                            </a:lnTo>
                            <a:lnTo>
                              <a:pt x="721" y="127"/>
                            </a:lnTo>
                            <a:lnTo>
                              <a:pt x="731" y="110"/>
                            </a:lnTo>
                            <a:lnTo>
                              <a:pt x="736" y="78"/>
                            </a:lnTo>
                            <a:moveTo>
                              <a:pt x="853" y="153"/>
                            </a:moveTo>
                            <a:lnTo>
                              <a:pt x="848" y="121"/>
                            </a:lnTo>
                            <a:lnTo>
                              <a:pt x="802" y="121"/>
                            </a:lnTo>
                            <a:lnTo>
                              <a:pt x="802" y="2"/>
                            </a:lnTo>
                            <a:lnTo>
                              <a:pt x="765" y="2"/>
                            </a:lnTo>
                            <a:lnTo>
                              <a:pt x="765" y="153"/>
                            </a:lnTo>
                            <a:lnTo>
                              <a:pt x="853" y="153"/>
                            </a:lnTo>
                          </a:path>
                        </a:pathLst>
                      </a:custGeom>
                      <a:solidFill>
                        <a:srgbClr val="4B9C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1C799" id="AutoShape 4" o:spid="_x0000_s1026" style="position:absolute;margin-left:235.25pt;margin-top:5.25pt;width:42.65pt;height:7.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3,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" path="m107,108l105,92,97,80,82,70,61,60,42,53,38,49r,-14l44,30r11,l64,31r10,2l84,37r11,5l97,30r3,-19l90,7,80,3,68,1,55,1,34,4,18,12,7,26,3,45,6,61r7,13l27,83r19,9l68,100r4,4l72,121r-7,5l54,126,42,125,30,122,18,118,6,112,,144r12,4l25,152r14,2l53,155r21,-3l91,144r12,-15l104,126r3,-18m244,144r-4,-19l239,113r-11,7l217,125r-13,l188,122,176,112,168,98,165,78r3,-20l175,44,187,34r16,-3l217,31r10,5l236,43r2,-12l241,10,233,5,223,2,213,,202,,171,5,147,21,133,46r-6,32l132,110r15,25l169,151r31,5l212,155r12,-2l234,149r10,-5m398,2r-38,l360,60r-52,l308,2r-37,l271,153r37,l308,92r52,l360,153r38,l398,92r,-32l398,2m570,78l565,46,555,29r-4,-8l533,9r,69l530,98r-6,16l513,123r-15,4l484,123r-11,-9l466,98,464,78r2,-20l473,42,484,32r14,-3l513,32r11,10l530,58r3,20l533,9,528,5,498,,469,5,446,21,431,46r-5,32l431,110r15,25l468,151r30,5l528,150r22,-16l555,127r10,-17l570,78t166,l731,46,721,29r-4,-8l699,9r,69l696,98r-6,16l679,123r-15,4l650,123r-11,-9l632,98,630,78r2,-20l639,42,650,32r14,-3l679,32r11,10l696,58r3,20l699,9,694,5,664,,635,5,612,21,597,46r-5,32l597,110r15,25l635,151r29,5l694,150r23,-16l721,127r10,-17l736,78t117,75l848,121r-46,l802,2r-37,l765,153r88,e" fillcolor="#4b9cd3" stroked="f">
              <v:path arrowok="t" o:connecttype="custom" o:connectlocs="61595,117475;26670,100330;27940,85725;46990,87630;61595,85725;50800,68580;21590,69215;1905,95250;17145,119380;45720,132715;34290,146685;11430,141605;7620,160655;33655,165100;65405,148590;154940,158115;144780,142875;119380,144145;104775,116205;118745,88265;144145,89535;153035,73025;135255,66675;93345,80010;83820,136525;127000,165735;148590,161290;228600,67945;195580,67945;195580,163830;228600,163830;252730,104775;358775,95885;338455,72390;336550,128905;316230,147320;295910,128905;295910,103505;316230,85090;336550,103505;335280,69850;283210,80010;273685,136525;316230,165735;352425,147320;467360,116205;455295,80010;443865,116205;431165,144780;405765,139065;400050,116205;412750,86995;438150,93345;443865,72390;403225,69850;375920,116205;403225,162560;455295,151765;467360,116205;509270,143510;485775,163830" o:connectangles="0,0,0,0,0,0,0,0,0,0,0,0,0,0,0,0,0,0,0,0,0,0,0,0,0,0,0,0,0,0,0,0,0,0,0,0,0,0,0,0,0,0,0,0,0,0,0,0,0,0,0,0,0,0,0,0,0,0,0,0,0"/>
              <w10:wrap anchorx="page"/>
            </v:shape>
          </w:pict>
        </mc:Fallback>
      </mc:AlternateContent>
    </w:r>
    <w:r>
      <w:rPr>
        <w:noProof/>
      </w:rPr>
      <w:drawing>
        <wp:anchor distT="0" distB="0" distL="0" distR="0" simplePos="0" relativeHeight="251666432" behindDoc="0" locked="0" layoutInCell="1" allowOverlap="1" wp14:anchorId="5E73A0A1" wp14:editId="14E630CF">
          <wp:simplePos x="0" y="0"/>
          <wp:positionH relativeFrom="page">
            <wp:posOffset>2214100</wp:posOffset>
          </wp:positionH>
          <wp:positionV relativeFrom="paragraph">
            <wp:posOffset>266441</wp:posOffset>
          </wp:positionV>
          <wp:extent cx="166817" cy="99428"/>
          <wp:effectExtent l="0" t="0" r="0" b="0"/>
          <wp:wrapNone/>
          <wp:docPr id="1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5" cstate="print"/>
                  <a:stretch>
                    <a:fillRect/>
                  </a:stretch>
                </pic:blipFill>
                <pic:spPr>
                  <a:xfrm>
                    <a:off x="0" y="0"/>
                    <a:ext cx="166817" cy="99428"/>
                  </a:xfrm>
                  <a:prstGeom prst="rect">
                    <a:avLst/>
                  </a:prstGeom>
                </pic:spPr>
              </pic:pic>
            </a:graphicData>
          </a:graphic>
        </wp:anchor>
      </w:drawing>
    </w:r>
    <w:r>
      <w:rPr>
        <w:noProof/>
      </w:rPr>
      <mc:AlternateContent>
        <mc:Choice Requires="wps">
          <w:drawing>
            <wp:anchor distT="0" distB="0" distL="114300" distR="114300" simplePos="0" relativeHeight="251670528" behindDoc="0" locked="0" layoutInCell="1" allowOverlap="1" wp14:anchorId="5DEB3363" wp14:editId="231F5407">
              <wp:simplePos x="0" y="0"/>
              <wp:positionH relativeFrom="page">
                <wp:posOffset>2429510</wp:posOffset>
              </wp:positionH>
              <wp:positionV relativeFrom="paragraph">
                <wp:posOffset>266700</wp:posOffset>
              </wp:positionV>
              <wp:extent cx="772160" cy="99695"/>
              <wp:effectExtent l="0" t="0" r="0"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2160" cy="99695"/>
                      </a:xfrm>
                      <a:custGeom>
                        <a:avLst/>
                        <a:gdLst>
                          <a:gd name="T0" fmla="+- 0 3930 3826"/>
                          <a:gd name="T1" fmla="*/ T0 w 1216"/>
                          <a:gd name="T2" fmla="+- 0 450 420"/>
                          <a:gd name="T3" fmla="*/ 450 h 157"/>
                          <a:gd name="T4" fmla="+- 0 3897 3826"/>
                          <a:gd name="T5" fmla="*/ T4 w 1216"/>
                          <a:gd name="T6" fmla="+- 0 425 420"/>
                          <a:gd name="T7" fmla="*/ 425 h 157"/>
                          <a:gd name="T8" fmla="+- 0 3888 3826"/>
                          <a:gd name="T9" fmla="*/ T8 w 1216"/>
                          <a:gd name="T10" fmla="+- 0 495 420"/>
                          <a:gd name="T11" fmla="*/ 495 h 157"/>
                          <a:gd name="T12" fmla="+- 0 3889 3826"/>
                          <a:gd name="T13" fmla="*/ T12 w 1216"/>
                          <a:gd name="T14" fmla="+- 0 451 420"/>
                          <a:gd name="T15" fmla="*/ 451 h 157"/>
                          <a:gd name="T16" fmla="+- 0 3874 3826"/>
                          <a:gd name="T17" fmla="*/ T16 w 1216"/>
                          <a:gd name="T18" fmla="+- 0 422 420"/>
                          <a:gd name="T19" fmla="*/ 422 h 157"/>
                          <a:gd name="T20" fmla="+- 0 3863 3826"/>
                          <a:gd name="T21" fmla="*/ T20 w 1216"/>
                          <a:gd name="T22" fmla="+- 0 573 420"/>
                          <a:gd name="T23" fmla="*/ 573 h 157"/>
                          <a:gd name="T24" fmla="+- 0 3898 3826"/>
                          <a:gd name="T25" fmla="*/ T24 w 1216"/>
                          <a:gd name="T26" fmla="+- 0 520 420"/>
                          <a:gd name="T27" fmla="*/ 520 h 157"/>
                          <a:gd name="T28" fmla="+- 0 3929 3826"/>
                          <a:gd name="T29" fmla="*/ T28 w 1216"/>
                          <a:gd name="T30" fmla="+- 0 494 420"/>
                          <a:gd name="T31" fmla="*/ 494 h 157"/>
                          <a:gd name="T32" fmla="+- 0 4046 3826"/>
                          <a:gd name="T33" fmla="*/ T32 w 1216"/>
                          <a:gd name="T34" fmla="+- 0 422 420"/>
                          <a:gd name="T35" fmla="*/ 422 h 157"/>
                          <a:gd name="T36" fmla="+- 0 3994 3826"/>
                          <a:gd name="T37" fmla="*/ T36 w 1216"/>
                          <a:gd name="T38" fmla="+- 0 422 420"/>
                          <a:gd name="T39" fmla="*/ 422 h 157"/>
                          <a:gd name="T40" fmla="+- 0 3994 3826"/>
                          <a:gd name="T41" fmla="*/ T40 w 1216"/>
                          <a:gd name="T42" fmla="+- 0 573 420"/>
                          <a:gd name="T43" fmla="*/ 573 h 157"/>
                          <a:gd name="T44" fmla="+- 0 4046 3826"/>
                          <a:gd name="T45" fmla="*/ T44 w 1216"/>
                          <a:gd name="T46" fmla="+- 0 573 420"/>
                          <a:gd name="T47" fmla="*/ 573 h 157"/>
                          <a:gd name="T48" fmla="+- 0 4084 3826"/>
                          <a:gd name="T49" fmla="*/ T48 w 1216"/>
                          <a:gd name="T50" fmla="+- 0 480 420"/>
                          <a:gd name="T51" fmla="*/ 480 h 157"/>
                          <a:gd name="T52" fmla="+- 0 4244 3826"/>
                          <a:gd name="T53" fmla="*/ T52 w 1216"/>
                          <a:gd name="T54" fmla="+- 0 542 420"/>
                          <a:gd name="T55" fmla="*/ 542 h 157"/>
                          <a:gd name="T56" fmla="+- 0 4201 3826"/>
                          <a:gd name="T57" fmla="*/ T56 w 1216"/>
                          <a:gd name="T58" fmla="+- 0 422 420"/>
                          <a:gd name="T59" fmla="*/ 422 h 157"/>
                          <a:gd name="T60" fmla="+- 0 4161 3826"/>
                          <a:gd name="T61" fmla="*/ T60 w 1216"/>
                          <a:gd name="T62" fmla="+- 0 513 420"/>
                          <a:gd name="T63" fmla="*/ 513 h 157"/>
                          <a:gd name="T64" fmla="+- 0 4195 3826"/>
                          <a:gd name="T65" fmla="*/ T64 w 1216"/>
                          <a:gd name="T66" fmla="+- 0 422 420"/>
                          <a:gd name="T67" fmla="*/ 422 h 157"/>
                          <a:gd name="T68" fmla="+- 0 4142 3826"/>
                          <a:gd name="T69" fmla="*/ T68 w 1216"/>
                          <a:gd name="T70" fmla="+- 0 573 420"/>
                          <a:gd name="T71" fmla="*/ 573 h 157"/>
                          <a:gd name="T72" fmla="+- 0 4216 3826"/>
                          <a:gd name="T73" fmla="*/ T72 w 1216"/>
                          <a:gd name="T74" fmla="+- 0 575 420"/>
                          <a:gd name="T75" fmla="*/ 575 h 157"/>
                          <a:gd name="T76" fmla="+- 0 4363 3826"/>
                          <a:gd name="T77" fmla="*/ T76 w 1216"/>
                          <a:gd name="T78" fmla="+- 0 521 420"/>
                          <a:gd name="T79" fmla="*/ 521 h 157"/>
                          <a:gd name="T80" fmla="+- 0 4379 3826"/>
                          <a:gd name="T81" fmla="*/ T80 w 1216"/>
                          <a:gd name="T82" fmla="+- 0 497 420"/>
                          <a:gd name="T83" fmla="*/ 497 h 157"/>
                          <a:gd name="T84" fmla="+- 0 4386 3826"/>
                          <a:gd name="T85" fmla="*/ T84 w 1216"/>
                          <a:gd name="T86" fmla="+- 0 470 420"/>
                          <a:gd name="T87" fmla="*/ 470 h 157"/>
                          <a:gd name="T88" fmla="+- 0 4371 3826"/>
                          <a:gd name="T89" fmla="*/ T88 w 1216"/>
                          <a:gd name="T90" fmla="+- 0 435 420"/>
                          <a:gd name="T91" fmla="*/ 435 h 157"/>
                          <a:gd name="T92" fmla="+- 0 4350 3826"/>
                          <a:gd name="T93" fmla="*/ T92 w 1216"/>
                          <a:gd name="T94" fmla="+- 0 458 420"/>
                          <a:gd name="T95" fmla="*/ 458 h 157"/>
                          <a:gd name="T96" fmla="+- 0 4313 3826"/>
                          <a:gd name="T97" fmla="*/ T96 w 1216"/>
                          <a:gd name="T98" fmla="+- 0 495 420"/>
                          <a:gd name="T99" fmla="*/ 495 h 157"/>
                          <a:gd name="T100" fmla="+- 0 4350 3826"/>
                          <a:gd name="T101" fmla="*/ T100 w 1216"/>
                          <a:gd name="T102" fmla="+- 0 458 420"/>
                          <a:gd name="T103" fmla="*/ 458 h 157"/>
                          <a:gd name="T104" fmla="+- 0 4276 3826"/>
                          <a:gd name="T105" fmla="*/ T104 w 1216"/>
                          <a:gd name="T106" fmla="+- 0 422 420"/>
                          <a:gd name="T107" fmla="*/ 422 h 157"/>
                          <a:gd name="T108" fmla="+- 0 4313 3826"/>
                          <a:gd name="T109" fmla="*/ T108 w 1216"/>
                          <a:gd name="T110" fmla="+- 0 521 420"/>
                          <a:gd name="T111" fmla="*/ 521 h 157"/>
                          <a:gd name="T112" fmla="+- 0 4395 3826"/>
                          <a:gd name="T113" fmla="*/ T112 w 1216"/>
                          <a:gd name="T114" fmla="+- 0 569 420"/>
                          <a:gd name="T115" fmla="*/ 569 h 157"/>
                          <a:gd name="T116" fmla="+- 0 4501 3826"/>
                          <a:gd name="T117" fmla="*/ T116 w 1216"/>
                          <a:gd name="T118" fmla="+- 0 525 420"/>
                          <a:gd name="T119" fmla="*/ 525 h 157"/>
                          <a:gd name="T120" fmla="+- 0 4417 3826"/>
                          <a:gd name="T121" fmla="*/ T120 w 1216"/>
                          <a:gd name="T122" fmla="+- 0 422 420"/>
                          <a:gd name="T123" fmla="*/ 422 h 157"/>
                          <a:gd name="T124" fmla="+- 0 4449 3826"/>
                          <a:gd name="T125" fmla="*/ T124 w 1216"/>
                          <a:gd name="T126" fmla="+- 0 474 420"/>
                          <a:gd name="T127" fmla="*/ 474 h 157"/>
                          <a:gd name="T128" fmla="+- 0 4530 3826"/>
                          <a:gd name="T129" fmla="*/ T128 w 1216"/>
                          <a:gd name="T130" fmla="+- 0 525 420"/>
                          <a:gd name="T131" fmla="*/ 525 h 157"/>
                          <a:gd name="T132" fmla="+- 0 4583 3826"/>
                          <a:gd name="T133" fmla="*/ T132 w 1216"/>
                          <a:gd name="T134" fmla="+- 0 573 420"/>
                          <a:gd name="T135" fmla="*/ 573 h 157"/>
                          <a:gd name="T136" fmla="+- 0 4753 3826"/>
                          <a:gd name="T137" fmla="*/ T136 w 1216"/>
                          <a:gd name="T138" fmla="+- 0 569 420"/>
                          <a:gd name="T139" fmla="*/ 569 h 157"/>
                          <a:gd name="T140" fmla="+- 0 4714 3826"/>
                          <a:gd name="T141" fmla="*/ T140 w 1216"/>
                          <a:gd name="T142" fmla="+- 0 460 420"/>
                          <a:gd name="T143" fmla="*/ 460 h 157"/>
                          <a:gd name="T144" fmla="+- 0 4695 3826"/>
                          <a:gd name="T145" fmla="*/ T144 w 1216"/>
                          <a:gd name="T146" fmla="+- 0 513 420"/>
                          <a:gd name="T147" fmla="*/ 513 h 157"/>
                          <a:gd name="T148" fmla="+- 0 4695 3826"/>
                          <a:gd name="T149" fmla="*/ T148 w 1216"/>
                          <a:gd name="T150" fmla="+- 0 513 420"/>
                          <a:gd name="T151" fmla="*/ 513 h 157"/>
                          <a:gd name="T152" fmla="+- 0 4605 3826"/>
                          <a:gd name="T153" fmla="*/ T152 w 1216"/>
                          <a:gd name="T154" fmla="+- 0 573 420"/>
                          <a:gd name="T155" fmla="*/ 573 h 157"/>
                          <a:gd name="T156" fmla="+- 0 4704 3826"/>
                          <a:gd name="T157" fmla="*/ T156 w 1216"/>
                          <a:gd name="T158" fmla="+- 0 542 420"/>
                          <a:gd name="T159" fmla="*/ 542 h 157"/>
                          <a:gd name="T160" fmla="+- 0 4880 3826"/>
                          <a:gd name="T161" fmla="*/ T160 w 1216"/>
                          <a:gd name="T162" fmla="+- 0 564 420"/>
                          <a:gd name="T163" fmla="*/ 564 h 157"/>
                          <a:gd name="T164" fmla="+- 0 4864 3826"/>
                          <a:gd name="T165" fmla="*/ T164 w 1216"/>
                          <a:gd name="T166" fmla="+- 0 540 420"/>
                          <a:gd name="T167" fmla="*/ 540 h 157"/>
                          <a:gd name="T168" fmla="+- 0 4824 3826"/>
                          <a:gd name="T169" fmla="*/ T168 w 1216"/>
                          <a:gd name="T170" fmla="+- 0 541 420"/>
                          <a:gd name="T171" fmla="*/ 541 h 157"/>
                          <a:gd name="T172" fmla="+- 0 4801 3826"/>
                          <a:gd name="T173" fmla="*/ T172 w 1216"/>
                          <a:gd name="T174" fmla="+- 0 498 420"/>
                          <a:gd name="T175" fmla="*/ 498 h 157"/>
                          <a:gd name="T176" fmla="+- 0 4824 3826"/>
                          <a:gd name="T177" fmla="*/ T176 w 1216"/>
                          <a:gd name="T178" fmla="+- 0 454 420"/>
                          <a:gd name="T179" fmla="*/ 454 h 157"/>
                          <a:gd name="T180" fmla="+- 0 4863 3826"/>
                          <a:gd name="T181" fmla="*/ T180 w 1216"/>
                          <a:gd name="T182" fmla="+- 0 456 420"/>
                          <a:gd name="T183" fmla="*/ 456 h 157"/>
                          <a:gd name="T184" fmla="+- 0 4878 3826"/>
                          <a:gd name="T185" fmla="*/ T184 w 1216"/>
                          <a:gd name="T186" fmla="+- 0 430 420"/>
                          <a:gd name="T187" fmla="*/ 430 h 157"/>
                          <a:gd name="T188" fmla="+- 0 4849 3826"/>
                          <a:gd name="T189" fmla="*/ T188 w 1216"/>
                          <a:gd name="T190" fmla="+- 0 420 420"/>
                          <a:gd name="T191" fmla="*/ 420 h 157"/>
                          <a:gd name="T192" fmla="+- 0 4784 3826"/>
                          <a:gd name="T193" fmla="*/ T192 w 1216"/>
                          <a:gd name="T194" fmla="+- 0 441 420"/>
                          <a:gd name="T195" fmla="*/ 441 h 157"/>
                          <a:gd name="T196" fmla="+- 0 4769 3826"/>
                          <a:gd name="T197" fmla="*/ T196 w 1216"/>
                          <a:gd name="T198" fmla="+- 0 530 420"/>
                          <a:gd name="T199" fmla="*/ 530 h 157"/>
                          <a:gd name="T200" fmla="+- 0 4836 3826"/>
                          <a:gd name="T201" fmla="*/ T200 w 1216"/>
                          <a:gd name="T202" fmla="+- 0 576 420"/>
                          <a:gd name="T203" fmla="*/ 576 h 157"/>
                          <a:gd name="T204" fmla="+- 0 4870 3826"/>
                          <a:gd name="T205" fmla="*/ T204 w 1216"/>
                          <a:gd name="T206" fmla="+- 0 569 420"/>
                          <a:gd name="T207" fmla="*/ 569 h 157"/>
                          <a:gd name="T208" fmla="+- 0 5001 3826"/>
                          <a:gd name="T209" fmla="*/ T208 w 1216"/>
                          <a:gd name="T210" fmla="+- 0 422 420"/>
                          <a:gd name="T211" fmla="*/ 422 h 157"/>
                          <a:gd name="T212" fmla="+- 0 4897 3826"/>
                          <a:gd name="T213" fmla="*/ T212 w 1216"/>
                          <a:gd name="T214" fmla="+- 0 426 420"/>
                          <a:gd name="T215" fmla="*/ 426 h 157"/>
                          <a:gd name="T216" fmla="+- 0 4987 3826"/>
                          <a:gd name="T217" fmla="*/ T216 w 1216"/>
                          <a:gd name="T218" fmla="+- 0 573 420"/>
                          <a:gd name="T219" fmla="*/ 573 h 157"/>
                          <a:gd name="T220" fmla="+- 0 5041 3826"/>
                          <a:gd name="T221" fmla="*/ T220 w 1216"/>
                          <a:gd name="T222" fmla="+- 0 422 420"/>
                          <a:gd name="T223" fmla="*/ 422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216" h="157">
                            <a:moveTo>
                              <a:pt x="108" y="52"/>
                            </a:moveTo>
                            <a:lnTo>
                              <a:pt x="104" y="31"/>
                            </a:lnTo>
                            <a:lnTo>
                              <a:pt x="104" y="30"/>
                            </a:lnTo>
                            <a:lnTo>
                              <a:pt x="92" y="15"/>
                            </a:lnTo>
                            <a:lnTo>
                              <a:pt x="73" y="6"/>
                            </a:lnTo>
                            <a:lnTo>
                              <a:pt x="71" y="5"/>
                            </a:lnTo>
                            <a:lnTo>
                              <a:pt x="71" y="38"/>
                            </a:lnTo>
                            <a:lnTo>
                              <a:pt x="71" y="68"/>
                            </a:lnTo>
                            <a:lnTo>
                              <a:pt x="62" y="75"/>
                            </a:lnTo>
                            <a:lnTo>
                              <a:pt x="37" y="75"/>
                            </a:lnTo>
                            <a:lnTo>
                              <a:pt x="37" y="31"/>
                            </a:lnTo>
                            <a:lnTo>
                              <a:pt x="63" y="31"/>
                            </a:lnTo>
                            <a:lnTo>
                              <a:pt x="71" y="38"/>
                            </a:lnTo>
                            <a:lnTo>
                              <a:pt x="71" y="5"/>
                            </a:lnTo>
                            <a:lnTo>
                              <a:pt x="48" y="2"/>
                            </a:lnTo>
                            <a:lnTo>
                              <a:pt x="0" y="2"/>
                            </a:lnTo>
                            <a:lnTo>
                              <a:pt x="0" y="153"/>
                            </a:lnTo>
                            <a:lnTo>
                              <a:pt x="37" y="153"/>
                            </a:lnTo>
                            <a:lnTo>
                              <a:pt x="37" y="103"/>
                            </a:lnTo>
                            <a:lnTo>
                              <a:pt x="47" y="103"/>
                            </a:lnTo>
                            <a:lnTo>
                              <a:pt x="72" y="100"/>
                            </a:lnTo>
                            <a:lnTo>
                              <a:pt x="91" y="90"/>
                            </a:lnTo>
                            <a:lnTo>
                              <a:pt x="103" y="75"/>
                            </a:lnTo>
                            <a:lnTo>
                              <a:pt x="103" y="74"/>
                            </a:lnTo>
                            <a:lnTo>
                              <a:pt x="108" y="52"/>
                            </a:lnTo>
                            <a:moveTo>
                              <a:pt x="258" y="2"/>
                            </a:moveTo>
                            <a:lnTo>
                              <a:pt x="220" y="2"/>
                            </a:lnTo>
                            <a:lnTo>
                              <a:pt x="220" y="60"/>
                            </a:lnTo>
                            <a:lnTo>
                              <a:pt x="168" y="60"/>
                            </a:lnTo>
                            <a:lnTo>
                              <a:pt x="168" y="2"/>
                            </a:lnTo>
                            <a:lnTo>
                              <a:pt x="130" y="2"/>
                            </a:lnTo>
                            <a:lnTo>
                              <a:pt x="130" y="153"/>
                            </a:lnTo>
                            <a:lnTo>
                              <a:pt x="168" y="153"/>
                            </a:lnTo>
                            <a:lnTo>
                              <a:pt x="168" y="92"/>
                            </a:lnTo>
                            <a:lnTo>
                              <a:pt x="220" y="92"/>
                            </a:lnTo>
                            <a:lnTo>
                              <a:pt x="220" y="153"/>
                            </a:lnTo>
                            <a:lnTo>
                              <a:pt x="258" y="153"/>
                            </a:lnTo>
                            <a:lnTo>
                              <a:pt x="258" y="92"/>
                            </a:lnTo>
                            <a:lnTo>
                              <a:pt x="258" y="60"/>
                            </a:lnTo>
                            <a:lnTo>
                              <a:pt x="258" y="2"/>
                            </a:lnTo>
                            <a:moveTo>
                              <a:pt x="427" y="149"/>
                            </a:moveTo>
                            <a:lnTo>
                              <a:pt x="418" y="122"/>
                            </a:lnTo>
                            <a:lnTo>
                              <a:pt x="407" y="93"/>
                            </a:lnTo>
                            <a:lnTo>
                              <a:pt x="389" y="40"/>
                            </a:lnTo>
                            <a:lnTo>
                              <a:pt x="375" y="2"/>
                            </a:lnTo>
                            <a:lnTo>
                              <a:pt x="369" y="2"/>
                            </a:lnTo>
                            <a:lnTo>
                              <a:pt x="369" y="93"/>
                            </a:lnTo>
                            <a:lnTo>
                              <a:pt x="335" y="93"/>
                            </a:lnTo>
                            <a:lnTo>
                              <a:pt x="352" y="40"/>
                            </a:lnTo>
                            <a:lnTo>
                              <a:pt x="369" y="93"/>
                            </a:lnTo>
                            <a:lnTo>
                              <a:pt x="369" y="2"/>
                            </a:lnTo>
                            <a:lnTo>
                              <a:pt x="334" y="2"/>
                            </a:lnTo>
                            <a:lnTo>
                              <a:pt x="280" y="153"/>
                            </a:lnTo>
                            <a:lnTo>
                              <a:pt x="316" y="153"/>
                            </a:lnTo>
                            <a:lnTo>
                              <a:pt x="326" y="122"/>
                            </a:lnTo>
                            <a:lnTo>
                              <a:pt x="378" y="122"/>
                            </a:lnTo>
                            <a:lnTo>
                              <a:pt x="390" y="155"/>
                            </a:lnTo>
                            <a:lnTo>
                              <a:pt x="427" y="149"/>
                            </a:lnTo>
                            <a:moveTo>
                              <a:pt x="569" y="149"/>
                            </a:moveTo>
                            <a:lnTo>
                              <a:pt x="537" y="101"/>
                            </a:lnTo>
                            <a:lnTo>
                              <a:pt x="532" y="93"/>
                            </a:lnTo>
                            <a:lnTo>
                              <a:pt x="544" y="86"/>
                            </a:lnTo>
                            <a:lnTo>
                              <a:pt x="553" y="77"/>
                            </a:lnTo>
                            <a:lnTo>
                              <a:pt x="554" y="75"/>
                            </a:lnTo>
                            <a:lnTo>
                              <a:pt x="558" y="65"/>
                            </a:lnTo>
                            <a:lnTo>
                              <a:pt x="560" y="50"/>
                            </a:lnTo>
                            <a:lnTo>
                              <a:pt x="557" y="31"/>
                            </a:lnTo>
                            <a:lnTo>
                              <a:pt x="556" y="30"/>
                            </a:lnTo>
                            <a:lnTo>
                              <a:pt x="545" y="15"/>
                            </a:lnTo>
                            <a:lnTo>
                              <a:pt x="527" y="6"/>
                            </a:lnTo>
                            <a:lnTo>
                              <a:pt x="524" y="5"/>
                            </a:lnTo>
                            <a:lnTo>
                              <a:pt x="524" y="38"/>
                            </a:lnTo>
                            <a:lnTo>
                              <a:pt x="524" y="67"/>
                            </a:lnTo>
                            <a:lnTo>
                              <a:pt x="514" y="75"/>
                            </a:lnTo>
                            <a:lnTo>
                              <a:pt x="487" y="75"/>
                            </a:lnTo>
                            <a:lnTo>
                              <a:pt x="487" y="31"/>
                            </a:lnTo>
                            <a:lnTo>
                              <a:pt x="515" y="31"/>
                            </a:lnTo>
                            <a:lnTo>
                              <a:pt x="524" y="38"/>
                            </a:lnTo>
                            <a:lnTo>
                              <a:pt x="524" y="5"/>
                            </a:lnTo>
                            <a:lnTo>
                              <a:pt x="502" y="2"/>
                            </a:lnTo>
                            <a:lnTo>
                              <a:pt x="450" y="2"/>
                            </a:lnTo>
                            <a:lnTo>
                              <a:pt x="450" y="153"/>
                            </a:lnTo>
                            <a:lnTo>
                              <a:pt x="487" y="153"/>
                            </a:lnTo>
                            <a:lnTo>
                              <a:pt x="487" y="101"/>
                            </a:lnTo>
                            <a:lnTo>
                              <a:pt x="496" y="101"/>
                            </a:lnTo>
                            <a:lnTo>
                              <a:pt x="529" y="155"/>
                            </a:lnTo>
                            <a:lnTo>
                              <a:pt x="569" y="149"/>
                            </a:lnTo>
                            <a:moveTo>
                              <a:pt x="757" y="2"/>
                            </a:moveTo>
                            <a:lnTo>
                              <a:pt x="708" y="2"/>
                            </a:lnTo>
                            <a:lnTo>
                              <a:pt x="675" y="105"/>
                            </a:lnTo>
                            <a:lnTo>
                              <a:pt x="658" y="54"/>
                            </a:lnTo>
                            <a:lnTo>
                              <a:pt x="641" y="2"/>
                            </a:lnTo>
                            <a:lnTo>
                              <a:pt x="591" y="2"/>
                            </a:lnTo>
                            <a:lnTo>
                              <a:pt x="591" y="153"/>
                            </a:lnTo>
                            <a:lnTo>
                              <a:pt x="623" y="153"/>
                            </a:lnTo>
                            <a:lnTo>
                              <a:pt x="623" y="54"/>
                            </a:lnTo>
                            <a:lnTo>
                              <a:pt x="655" y="154"/>
                            </a:lnTo>
                            <a:lnTo>
                              <a:pt x="688" y="154"/>
                            </a:lnTo>
                            <a:lnTo>
                              <a:pt x="704" y="105"/>
                            </a:lnTo>
                            <a:lnTo>
                              <a:pt x="721" y="54"/>
                            </a:lnTo>
                            <a:lnTo>
                              <a:pt x="721" y="153"/>
                            </a:lnTo>
                            <a:lnTo>
                              <a:pt x="757" y="153"/>
                            </a:lnTo>
                            <a:lnTo>
                              <a:pt x="757" y="54"/>
                            </a:lnTo>
                            <a:lnTo>
                              <a:pt x="757" y="2"/>
                            </a:lnTo>
                            <a:moveTo>
                              <a:pt x="927" y="149"/>
                            </a:moveTo>
                            <a:lnTo>
                              <a:pt x="917" y="122"/>
                            </a:lnTo>
                            <a:lnTo>
                              <a:pt x="907" y="93"/>
                            </a:lnTo>
                            <a:lnTo>
                              <a:pt x="888" y="40"/>
                            </a:lnTo>
                            <a:lnTo>
                              <a:pt x="874" y="2"/>
                            </a:lnTo>
                            <a:lnTo>
                              <a:pt x="869" y="2"/>
                            </a:lnTo>
                            <a:lnTo>
                              <a:pt x="869" y="93"/>
                            </a:lnTo>
                            <a:lnTo>
                              <a:pt x="835" y="93"/>
                            </a:lnTo>
                            <a:lnTo>
                              <a:pt x="852" y="40"/>
                            </a:lnTo>
                            <a:lnTo>
                              <a:pt x="869" y="93"/>
                            </a:lnTo>
                            <a:lnTo>
                              <a:pt x="869" y="2"/>
                            </a:lnTo>
                            <a:lnTo>
                              <a:pt x="833" y="2"/>
                            </a:lnTo>
                            <a:lnTo>
                              <a:pt x="779" y="153"/>
                            </a:lnTo>
                            <a:lnTo>
                              <a:pt x="816" y="153"/>
                            </a:lnTo>
                            <a:lnTo>
                              <a:pt x="826" y="122"/>
                            </a:lnTo>
                            <a:lnTo>
                              <a:pt x="878" y="122"/>
                            </a:lnTo>
                            <a:lnTo>
                              <a:pt x="889" y="155"/>
                            </a:lnTo>
                            <a:lnTo>
                              <a:pt x="927" y="149"/>
                            </a:lnTo>
                            <a:moveTo>
                              <a:pt x="1054" y="144"/>
                            </a:moveTo>
                            <a:lnTo>
                              <a:pt x="1051" y="125"/>
                            </a:lnTo>
                            <a:lnTo>
                              <a:pt x="1049" y="113"/>
                            </a:lnTo>
                            <a:lnTo>
                              <a:pt x="1038" y="120"/>
                            </a:lnTo>
                            <a:lnTo>
                              <a:pt x="1027" y="125"/>
                            </a:lnTo>
                            <a:lnTo>
                              <a:pt x="1015" y="125"/>
                            </a:lnTo>
                            <a:lnTo>
                              <a:pt x="998" y="121"/>
                            </a:lnTo>
                            <a:lnTo>
                              <a:pt x="986" y="112"/>
                            </a:lnTo>
                            <a:lnTo>
                              <a:pt x="978" y="98"/>
                            </a:lnTo>
                            <a:lnTo>
                              <a:pt x="975" y="78"/>
                            </a:lnTo>
                            <a:lnTo>
                              <a:pt x="978" y="58"/>
                            </a:lnTo>
                            <a:lnTo>
                              <a:pt x="986" y="44"/>
                            </a:lnTo>
                            <a:lnTo>
                              <a:pt x="998" y="34"/>
                            </a:lnTo>
                            <a:lnTo>
                              <a:pt x="1014" y="31"/>
                            </a:lnTo>
                            <a:lnTo>
                              <a:pt x="1027" y="31"/>
                            </a:lnTo>
                            <a:lnTo>
                              <a:pt x="1037" y="36"/>
                            </a:lnTo>
                            <a:lnTo>
                              <a:pt x="1046" y="43"/>
                            </a:lnTo>
                            <a:lnTo>
                              <a:pt x="1048" y="31"/>
                            </a:lnTo>
                            <a:lnTo>
                              <a:pt x="1052" y="10"/>
                            </a:lnTo>
                            <a:lnTo>
                              <a:pt x="1043" y="5"/>
                            </a:lnTo>
                            <a:lnTo>
                              <a:pt x="1034" y="2"/>
                            </a:lnTo>
                            <a:lnTo>
                              <a:pt x="1023" y="0"/>
                            </a:lnTo>
                            <a:lnTo>
                              <a:pt x="1012" y="0"/>
                            </a:lnTo>
                            <a:lnTo>
                              <a:pt x="981" y="5"/>
                            </a:lnTo>
                            <a:lnTo>
                              <a:pt x="958" y="21"/>
                            </a:lnTo>
                            <a:lnTo>
                              <a:pt x="943" y="46"/>
                            </a:lnTo>
                            <a:lnTo>
                              <a:pt x="938" y="78"/>
                            </a:lnTo>
                            <a:lnTo>
                              <a:pt x="943" y="110"/>
                            </a:lnTo>
                            <a:lnTo>
                              <a:pt x="957" y="135"/>
                            </a:lnTo>
                            <a:lnTo>
                              <a:pt x="980" y="150"/>
                            </a:lnTo>
                            <a:lnTo>
                              <a:pt x="1010" y="156"/>
                            </a:lnTo>
                            <a:lnTo>
                              <a:pt x="1023" y="155"/>
                            </a:lnTo>
                            <a:lnTo>
                              <a:pt x="1034" y="153"/>
                            </a:lnTo>
                            <a:lnTo>
                              <a:pt x="1044" y="149"/>
                            </a:lnTo>
                            <a:lnTo>
                              <a:pt x="1054" y="144"/>
                            </a:lnTo>
                            <a:moveTo>
                              <a:pt x="1215" y="2"/>
                            </a:moveTo>
                            <a:lnTo>
                              <a:pt x="1175" y="2"/>
                            </a:lnTo>
                            <a:lnTo>
                              <a:pt x="1144" y="63"/>
                            </a:lnTo>
                            <a:lnTo>
                              <a:pt x="1111" y="1"/>
                            </a:lnTo>
                            <a:lnTo>
                              <a:pt x="1071" y="6"/>
                            </a:lnTo>
                            <a:lnTo>
                              <a:pt x="1123" y="98"/>
                            </a:lnTo>
                            <a:lnTo>
                              <a:pt x="1123" y="153"/>
                            </a:lnTo>
                            <a:lnTo>
                              <a:pt x="1161" y="153"/>
                            </a:lnTo>
                            <a:lnTo>
                              <a:pt x="1161" y="98"/>
                            </a:lnTo>
                            <a:lnTo>
                              <a:pt x="1180" y="63"/>
                            </a:lnTo>
                            <a:lnTo>
                              <a:pt x="1215" y="2"/>
                            </a:lnTo>
                          </a:path>
                        </a:pathLst>
                      </a:custGeom>
                      <a:solidFill>
                        <a:srgbClr val="4B9C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8D1FA" id="AutoShape 3" o:spid="_x0000_s1026" style="position:absolute;margin-left:191.3pt;margin-top:21pt;width:60.8pt;height:7.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16,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" path="m108,52l104,31r,-1l92,15,73,6,71,5r,33l71,68r-9,7l37,75r,-44l63,31r8,7l71,5,48,2,,2,,153r37,l37,103r10,l72,100,91,90,103,75r,-1l108,52m258,2r-38,l220,60r-52,l168,2r-38,l130,153r38,l168,92r52,l220,153r38,l258,92r,-32l258,2m427,149r-9,-27l407,93,389,40,375,2r-6,l369,93r-34,l352,40r17,53l369,2r-35,l280,153r36,l326,122r52,l390,155r37,-6m569,149l537,101r-5,-8l544,86r9,-9l554,75r4,-10l560,50,557,31r-1,-1l545,15,527,6,524,5r,33l524,67r-10,8l487,75r,-44l515,31r9,7l524,5,502,2r-52,l450,153r37,l487,101r9,l529,155r40,-6m757,2r-49,l675,105,658,54,641,2r-50,l591,153r32,l623,54r32,100l688,154r16,-49l721,54r,99l757,153r,-99l757,2m927,149l917,122,907,93,888,40,874,2r-5,l869,93r-34,l852,40r17,53l869,2r-36,l779,153r37,l826,122r52,l889,155r38,-6m1054,144r-3,-19l1049,113r-11,7l1027,125r-12,l998,121r-12,-9l978,98,975,78r3,-20l986,44,998,34r16,-3l1027,31r10,5l1046,43r2,-12l1052,10r-9,-5l1034,2,1023,r-11,l981,5,958,21,943,46r-5,32l943,110r14,25l980,150r30,6l1023,155r11,-2l1044,149r10,-5m1215,2r-40,l1144,63,1111,1r-40,5l1123,98r,55l1161,153r,-55l1180,63,1215,2e" fillcolor="#4b9cd3" stroked="f">
              <v:path arrowok="t" o:connecttype="custom" o:connectlocs="66040,285750;45085,269875;39370,314325;40005,286385;30480,267970;23495,363855;45720,330200;65405,313690;139700,267970;106680,267970;106680,363855;139700,363855;163830,304800;265430,344170;238125,267970;212725,325755;234315,267970;200660,363855;247650,365125;340995,330835;351155,315595;355600,298450;346075,276225;332740,290830;309245,314325;332740,290830;285750,267970;309245,330835;361315,361315;428625,333375;375285,267970;395605,300990;447040,333375;480695,363855;588645,361315;563880,292100;551815,325755;551815,325755;494665,363855;557530,344170;669290,358140;659130,342900;633730,343535;619125,316230;633730,288290;658495,289560;668020,273050;649605,266700;608330,280035;598805,336550;641350,365760;662940,361315;746125,267970;680085,270510;737235,363855;771525,267970" o:connectangles="0,0,0,0,0,0,0,0,0,0,0,0,0,0,0,0,0,0,0,0,0,0,0,0,0,0,0,0,0,0,0,0,0,0,0,0,0,0,0,0,0,0,0,0,0,0,0,0,0,0,0,0,0,0,0,0"/>
              <w10:wrap anchorx="page"/>
            </v:shape>
          </w:pict>
        </mc:Fallback>
      </mc:AlternateContent>
    </w:r>
    <w:r>
      <w:rPr>
        <w:noProof/>
      </w:rPr>
      <mc:AlternateContent>
        <mc:Choice Requires="wps">
          <w:drawing>
            <wp:anchor distT="0" distB="0" distL="114300" distR="114300" simplePos="0" relativeHeight="251671552" behindDoc="0" locked="0" layoutInCell="1" allowOverlap="1" wp14:anchorId="03E75C13" wp14:editId="5DC3FBF9">
              <wp:simplePos x="0" y="0"/>
              <wp:positionH relativeFrom="page">
                <wp:posOffset>2098675</wp:posOffset>
              </wp:positionH>
              <wp:positionV relativeFrom="paragraph">
                <wp:posOffset>15240</wp:posOffset>
              </wp:positionV>
              <wp:extent cx="0" cy="40005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00050"/>
                      </a:xfrm>
                      <a:prstGeom prst="line">
                        <a:avLst/>
                      </a:prstGeom>
                      <a:noFill/>
                      <a:ln w="4458">
                        <a:solidFill>
                          <a:srgbClr val="4B9CD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CB5A3" id="Line 2"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5.25pt,1.2pt" to="165.2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" strokecolor="#4b9cd3" strokeweight=".1238mm">
              <o:lock v:ext="edit" shapetype="f"/>
              <w10:wrap anchorx="page"/>
            </v:line>
          </w:pict>
        </mc:Fallback>
      </mc:AlternateContent>
    </w:r>
    <w:r>
      <w:rPr>
        <w:noProof/>
      </w:rPr>
      <w:drawing>
        <wp:anchor distT="0" distB="0" distL="0" distR="0" simplePos="0" relativeHeight="251667456" behindDoc="0" locked="0" layoutInCell="1" allowOverlap="1" wp14:anchorId="42A66CB4" wp14:editId="05A508CA">
          <wp:simplePos x="0" y="0"/>
          <wp:positionH relativeFrom="page">
            <wp:posOffset>688395</wp:posOffset>
          </wp:positionH>
          <wp:positionV relativeFrom="paragraph">
            <wp:posOffset>53925</wp:posOffset>
          </wp:positionV>
          <wp:extent cx="1300020" cy="317600"/>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6" cstate="print"/>
                  <a:stretch>
                    <a:fillRect/>
                  </a:stretch>
                </pic:blipFill>
                <pic:spPr>
                  <a:xfrm>
                    <a:off x="0" y="0"/>
                    <a:ext cx="1300020" cy="317600"/>
                  </a:xfrm>
                  <a:prstGeom prst="rect">
                    <a:avLst/>
                  </a:prstGeom>
                </pic:spPr>
              </pic:pic>
            </a:graphicData>
          </a:graphic>
        </wp:anchor>
      </w:drawing>
    </w:r>
    <w:r>
      <w:rPr>
        <w:rFonts w:ascii="Whitney"/>
        <w:b/>
        <w:color w:val="4A9CD2"/>
        <w:sz w:val="14"/>
      </w:rPr>
      <w:t>THE UNIVERSITY OF NORTH CAROLINA AT CHAPEL HILL</w:t>
    </w:r>
  </w:p>
  <w:p w:rsidR="00670B41" w:rsidRDefault="00670B41" w:rsidP="00670B41">
    <w:pPr>
      <w:spacing w:after="0" w:line="240" w:lineRule="auto"/>
      <w:ind w:left="5227"/>
      <w:rPr>
        <w:rFonts w:ascii="Whitney"/>
        <w:b/>
        <w:color w:val="231F20"/>
        <w:sz w:val="14"/>
      </w:rPr>
    </w:pPr>
    <w:r>
      <w:rPr>
        <w:rFonts w:ascii="Whitney"/>
        <w:b/>
        <w:color w:val="231F20"/>
        <w:sz w:val="14"/>
      </w:rPr>
      <w:t>UNC ESHELMAN SCHOOL OF PHARMACY</w:t>
    </w:r>
  </w:p>
  <w:p w:rsidR="00670B41" w:rsidRDefault="00670B41" w:rsidP="00670B41">
    <w:pPr>
      <w:spacing w:after="120" w:line="283" w:lineRule="auto"/>
      <w:ind w:left="5227"/>
      <w:rPr>
        <w:color w:val="231F20"/>
        <w:sz w:val="14"/>
      </w:rPr>
    </w:pPr>
    <w:r w:rsidRPr="001A7B52">
      <w:rPr>
        <w:color w:val="231F20"/>
        <w:sz w:val="16"/>
        <w:szCs w:val="16"/>
      </w:rPr>
      <w:t>CIPhER – Center for Innovative Pharmacy Education &amp; Research</w:t>
    </w:r>
  </w:p>
  <w:p w:rsidR="00670B41" w:rsidRDefault="00670B41" w:rsidP="00670B41">
    <w:pPr>
      <w:pStyle w:val="BodyText"/>
      <w:spacing w:before="2"/>
      <w:ind w:left="0"/>
      <w:rPr>
        <w:sz w:val="15"/>
      </w:rPr>
    </w:pPr>
  </w:p>
  <w:p w:rsidR="00670B41" w:rsidRDefault="00670B41" w:rsidP="00670B41">
    <w:pPr>
      <w:pStyle w:val="BodyText"/>
      <w:tabs>
        <w:tab w:val="left" w:pos="5220"/>
      </w:tabs>
      <w:ind w:left="0"/>
    </w:pPr>
    <w:r>
      <w:rPr>
        <w:rFonts w:ascii="Times New Roman"/>
        <w:sz w:val="20"/>
      </w:rPr>
      <w:t xml:space="preserve">           </w:t>
    </w:r>
    <w:r>
      <w:rPr>
        <w:noProof/>
        <w:position w:val="-5"/>
        <w:lang w:bidi="ar-SA"/>
      </w:rPr>
      <w:drawing>
        <wp:inline distT="0" distB="0" distL="0" distR="0" wp14:anchorId="274EE73B" wp14:editId="19097E9B">
          <wp:extent cx="1524361" cy="131649"/>
          <wp:effectExtent l="0" t="0" r="0" b="0"/>
          <wp:docPr id="2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7" cstate="print"/>
                  <a:stretch>
                    <a:fillRect/>
                  </a:stretch>
                </pic:blipFill>
                <pic:spPr>
                  <a:xfrm>
                    <a:off x="0" y="0"/>
                    <a:ext cx="1524361" cy="131649"/>
                  </a:xfrm>
                  <a:prstGeom prst="rect">
                    <a:avLst/>
                  </a:prstGeom>
                </pic:spPr>
              </pic:pic>
            </a:graphicData>
          </a:graphic>
        </wp:inline>
      </w:drawing>
    </w:r>
    <w:r>
      <w:rPr>
        <w:rFonts w:ascii="Times New Roman"/>
        <w:sz w:val="20"/>
      </w:rPr>
      <w:tab/>
    </w:r>
    <w:hyperlink r:id="rId8" w:history="1">
      <w:r w:rsidRPr="00B26B22">
        <w:rPr>
          <w:rStyle w:val="Hyperlink"/>
        </w:rPr>
        <w:t>cipher@unc.edu</w:t>
      </w:r>
    </w:hyperlink>
    <w:r>
      <w:rPr>
        <w:color w:val="231F20"/>
      </w:rPr>
      <w:t xml:space="preserve"> </w:t>
    </w:r>
  </w:p>
  <w:p w:rsidR="00670B41" w:rsidRDefault="00670B41" w:rsidP="00670B41">
    <w:pPr>
      <w:pStyle w:val="BodyText"/>
      <w:spacing w:before="1"/>
      <w:ind w:left="5220"/>
    </w:pPr>
    <w:r>
      <w:rPr>
        <w:rFonts w:ascii="Whitney" w:hAnsi="Whitney"/>
        <w:b/>
        <w:color w:val="231F20"/>
      </w:rPr>
      <w:t xml:space="preserve">O </w:t>
    </w:r>
    <w:r>
      <w:rPr>
        <w:color w:val="231F20"/>
      </w:rPr>
      <w:t>919-962-5382</w:t>
    </w:r>
  </w:p>
  <w:p w:rsidR="00670B41" w:rsidRDefault="00670B41" w:rsidP="00670B41">
    <w:pPr>
      <w:pStyle w:val="BodyText"/>
      <w:ind w:left="0"/>
      <w:rPr>
        <w:sz w:val="19"/>
      </w:rPr>
    </w:pPr>
  </w:p>
  <w:p w:rsidR="00670B41" w:rsidRDefault="00670B41" w:rsidP="00670B41">
    <w:pPr>
      <w:pStyle w:val="BodyText"/>
      <w:spacing w:before="2" w:line="280" w:lineRule="auto"/>
      <w:ind w:left="5220" w:right="1015"/>
      <w:rPr>
        <w:color w:val="231F20"/>
      </w:rPr>
    </w:pPr>
    <w:r>
      <w:rPr>
        <w:color w:val="231F20"/>
      </w:rPr>
      <w:t>Beard Hall | Suite 321</w:t>
    </w:r>
    <w:r>
      <w:rPr>
        <w:color w:val="231F20"/>
      </w:rPr>
      <w:t> </w:t>
    </w:r>
    <w:r>
      <w:rPr>
        <w:color w:val="231F20"/>
      </w:rPr>
      <w:t>| Campus  Box  7574</w:t>
    </w:r>
  </w:p>
  <w:p w:rsidR="00670B41" w:rsidRDefault="00670B41" w:rsidP="00670B41">
    <w:pPr>
      <w:pStyle w:val="BodyText"/>
      <w:spacing w:before="2" w:line="280" w:lineRule="auto"/>
      <w:ind w:left="5220" w:right="1015"/>
      <w:rPr>
        <w:color w:val="231F20"/>
      </w:rPr>
    </w:pPr>
    <w:r>
      <w:rPr>
        <w:color w:val="231F20"/>
      </w:rPr>
      <w:t>301 Pharmacy Lane | Chapel Hill, NC 27599-7355 pharmacy.unc.edu/research/cipher</w:t>
    </w:r>
  </w:p>
  <w:p w:rsidR="00D867F5" w:rsidRDefault="00D867F5" w:rsidP="00670B41">
    <w:pPr>
      <w:pStyle w:val="BodyText"/>
      <w:spacing w:before="2" w:line="280" w:lineRule="auto"/>
      <w:ind w:left="5220" w:right="101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62F"/>
    <w:multiLevelType w:val="hybridMultilevel"/>
    <w:tmpl w:val="BB9E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A03B3"/>
    <w:multiLevelType w:val="hybridMultilevel"/>
    <w:tmpl w:val="3934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F4AA7"/>
    <w:multiLevelType w:val="hybridMultilevel"/>
    <w:tmpl w:val="783274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25DF7"/>
    <w:multiLevelType w:val="hybridMultilevel"/>
    <w:tmpl w:val="3BA0E9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FB4846"/>
    <w:multiLevelType w:val="hybridMultilevel"/>
    <w:tmpl w:val="D4D45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E73E04"/>
    <w:multiLevelType w:val="hybridMultilevel"/>
    <w:tmpl w:val="AB82043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764640"/>
    <w:multiLevelType w:val="hybridMultilevel"/>
    <w:tmpl w:val="6D806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FB0BD5"/>
    <w:multiLevelType w:val="hybridMultilevel"/>
    <w:tmpl w:val="16D0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562C1"/>
    <w:multiLevelType w:val="hybridMultilevel"/>
    <w:tmpl w:val="88E412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182ACB"/>
    <w:multiLevelType w:val="hybridMultilevel"/>
    <w:tmpl w:val="0F18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F0AF2"/>
    <w:multiLevelType w:val="hybridMultilevel"/>
    <w:tmpl w:val="1090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492BA4"/>
    <w:multiLevelType w:val="hybridMultilevel"/>
    <w:tmpl w:val="E416D0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4916E0"/>
    <w:multiLevelType w:val="hybridMultilevel"/>
    <w:tmpl w:val="70B6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6F0D1D"/>
    <w:multiLevelType w:val="hybridMultilevel"/>
    <w:tmpl w:val="A17A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3F7F23"/>
    <w:multiLevelType w:val="hybridMultilevel"/>
    <w:tmpl w:val="6BF2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2B1A9D"/>
    <w:multiLevelType w:val="hybridMultilevel"/>
    <w:tmpl w:val="5B56676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
  </w:num>
  <w:num w:numId="4">
    <w:abstractNumId w:val="0"/>
  </w:num>
  <w:num w:numId="5">
    <w:abstractNumId w:val="12"/>
  </w:num>
  <w:num w:numId="6">
    <w:abstractNumId w:val="11"/>
  </w:num>
  <w:num w:numId="7">
    <w:abstractNumId w:val="13"/>
  </w:num>
  <w:num w:numId="8">
    <w:abstractNumId w:val="2"/>
  </w:num>
  <w:num w:numId="9">
    <w:abstractNumId w:val="10"/>
  </w:num>
  <w:num w:numId="10">
    <w:abstractNumId w:val="5"/>
  </w:num>
  <w:num w:numId="11">
    <w:abstractNumId w:val="3"/>
  </w:num>
  <w:num w:numId="12">
    <w:abstractNumId w:val="15"/>
  </w:num>
  <w:num w:numId="13">
    <w:abstractNumId w:val="4"/>
  </w:num>
  <w:num w:numId="14">
    <w:abstractNumId w:val="7"/>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1F4"/>
    <w:rsid w:val="0006166A"/>
    <w:rsid w:val="000638C6"/>
    <w:rsid w:val="00117371"/>
    <w:rsid w:val="001453E5"/>
    <w:rsid w:val="00190583"/>
    <w:rsid w:val="001E36EB"/>
    <w:rsid w:val="00220F5C"/>
    <w:rsid w:val="002E2708"/>
    <w:rsid w:val="002F7FCE"/>
    <w:rsid w:val="0033374E"/>
    <w:rsid w:val="003E62C9"/>
    <w:rsid w:val="004503F1"/>
    <w:rsid w:val="00451FB9"/>
    <w:rsid w:val="004A4ADF"/>
    <w:rsid w:val="005266F5"/>
    <w:rsid w:val="00534175"/>
    <w:rsid w:val="005B5B0D"/>
    <w:rsid w:val="005E37AC"/>
    <w:rsid w:val="00670B41"/>
    <w:rsid w:val="00680C87"/>
    <w:rsid w:val="006D55C3"/>
    <w:rsid w:val="006E4B72"/>
    <w:rsid w:val="00737877"/>
    <w:rsid w:val="007B7CC4"/>
    <w:rsid w:val="007E0820"/>
    <w:rsid w:val="007E2163"/>
    <w:rsid w:val="007F5B57"/>
    <w:rsid w:val="0091339A"/>
    <w:rsid w:val="00933B65"/>
    <w:rsid w:val="00951AA1"/>
    <w:rsid w:val="00997559"/>
    <w:rsid w:val="009A243A"/>
    <w:rsid w:val="00A0464F"/>
    <w:rsid w:val="00A467DA"/>
    <w:rsid w:val="00AC11F4"/>
    <w:rsid w:val="00B4226B"/>
    <w:rsid w:val="00B6187C"/>
    <w:rsid w:val="00B92A75"/>
    <w:rsid w:val="00BB79E3"/>
    <w:rsid w:val="00BE408E"/>
    <w:rsid w:val="00C75A8F"/>
    <w:rsid w:val="00CB2069"/>
    <w:rsid w:val="00D32692"/>
    <w:rsid w:val="00D61E0D"/>
    <w:rsid w:val="00D867F5"/>
    <w:rsid w:val="00DA25B7"/>
    <w:rsid w:val="00DC0770"/>
    <w:rsid w:val="00DC1AC5"/>
    <w:rsid w:val="00DE3A64"/>
    <w:rsid w:val="00DF1D5C"/>
    <w:rsid w:val="00E06FF0"/>
    <w:rsid w:val="00E12BBD"/>
    <w:rsid w:val="00E2078D"/>
    <w:rsid w:val="00EE4254"/>
    <w:rsid w:val="00F34C5F"/>
    <w:rsid w:val="00F655EB"/>
    <w:rsid w:val="00FA4E0D"/>
    <w:rsid w:val="00FC2C38"/>
    <w:rsid w:val="00FE0A05"/>
    <w:rsid w:val="00FF0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DF510-67B6-4F2B-B620-0E76EE86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1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1F4"/>
    <w:pPr>
      <w:ind w:left="720"/>
      <w:contextualSpacing/>
    </w:pPr>
  </w:style>
  <w:style w:type="paragraph" w:styleId="NormalWeb">
    <w:name w:val="Normal (Web)"/>
    <w:basedOn w:val="Normal"/>
    <w:uiPriority w:val="99"/>
    <w:unhideWhenUsed/>
    <w:rsid w:val="00AC11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
    <w:name w:val="desc2"/>
    <w:basedOn w:val="Normal"/>
    <w:rsid w:val="00AC11F4"/>
    <w:pPr>
      <w:spacing w:after="0" w:line="240" w:lineRule="auto"/>
    </w:pPr>
    <w:rPr>
      <w:rFonts w:ascii="Times New Roman" w:eastAsia="Times New Roman" w:hAnsi="Times New Roman" w:cs="Times New Roman"/>
      <w:sz w:val="26"/>
      <w:szCs w:val="26"/>
    </w:rPr>
  </w:style>
  <w:style w:type="character" w:customStyle="1" w:styleId="jrnl">
    <w:name w:val="jrnl"/>
    <w:basedOn w:val="DefaultParagraphFont"/>
    <w:rsid w:val="00AC11F4"/>
  </w:style>
  <w:style w:type="paragraph" w:styleId="Header">
    <w:name w:val="header"/>
    <w:basedOn w:val="Normal"/>
    <w:link w:val="HeaderChar"/>
    <w:uiPriority w:val="99"/>
    <w:unhideWhenUsed/>
    <w:rsid w:val="00AC1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1F4"/>
  </w:style>
  <w:style w:type="paragraph" w:styleId="Footer">
    <w:name w:val="footer"/>
    <w:basedOn w:val="Normal"/>
    <w:link w:val="FooterChar"/>
    <w:uiPriority w:val="99"/>
    <w:unhideWhenUsed/>
    <w:rsid w:val="00AC1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1F4"/>
  </w:style>
  <w:style w:type="character" w:customStyle="1" w:styleId="apple-converted-space">
    <w:name w:val="apple-converted-space"/>
    <w:basedOn w:val="DefaultParagraphFont"/>
    <w:rsid w:val="004A4ADF"/>
  </w:style>
  <w:style w:type="character" w:styleId="Hyperlink">
    <w:name w:val="Hyperlink"/>
    <w:basedOn w:val="DefaultParagraphFont"/>
    <w:uiPriority w:val="99"/>
    <w:unhideWhenUsed/>
    <w:rsid w:val="006D55C3"/>
    <w:rPr>
      <w:color w:val="0563C1" w:themeColor="hyperlink"/>
      <w:u w:val="single"/>
    </w:rPr>
  </w:style>
  <w:style w:type="paragraph" w:styleId="BodyText">
    <w:name w:val="Body Text"/>
    <w:basedOn w:val="Normal"/>
    <w:link w:val="BodyTextChar"/>
    <w:uiPriority w:val="1"/>
    <w:qFormat/>
    <w:rsid w:val="00933B65"/>
    <w:pPr>
      <w:widowControl w:val="0"/>
      <w:autoSpaceDE w:val="0"/>
      <w:autoSpaceDN w:val="0"/>
      <w:spacing w:after="0" w:line="240" w:lineRule="auto"/>
      <w:ind w:left="6400"/>
    </w:pPr>
    <w:rPr>
      <w:rFonts w:ascii="Whitney-Medium" w:eastAsia="Whitney-Medium" w:hAnsi="Whitney-Medium" w:cs="Whitney-Medium"/>
      <w:sz w:val="14"/>
      <w:szCs w:val="14"/>
      <w:lang w:bidi="en-US"/>
    </w:rPr>
  </w:style>
  <w:style w:type="character" w:customStyle="1" w:styleId="BodyTextChar">
    <w:name w:val="Body Text Char"/>
    <w:basedOn w:val="DefaultParagraphFont"/>
    <w:link w:val="BodyText"/>
    <w:uiPriority w:val="1"/>
    <w:rsid w:val="00933B65"/>
    <w:rPr>
      <w:rFonts w:ascii="Whitney-Medium" w:eastAsia="Whitney-Medium" w:hAnsi="Whitney-Medium" w:cs="Whitney-Medium"/>
      <w:sz w:val="14"/>
      <w:szCs w:val="1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4159218" TargetMode="External"/><Relationship Id="rId13" Type="http://schemas.openxmlformats.org/officeDocument/2006/relationships/hyperlink" Target="http://www.ncbi.nlm.nih.gov/pubmed/2378880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bi.nlm.nih.gov/pubmed/2378880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23788808" TargetMode="External"/><Relationship Id="rId5" Type="http://schemas.openxmlformats.org/officeDocument/2006/relationships/webSettings" Target="webSettings.xml"/><Relationship Id="rId15" Type="http://schemas.openxmlformats.org/officeDocument/2006/relationships/hyperlink" Target="http://www.ncbi.nlm.nih.gov/pubmed/23459199" TargetMode="External"/><Relationship Id="rId10" Type="http://schemas.openxmlformats.org/officeDocument/2006/relationships/hyperlink" Target="http://www.ncbi.nlm.nih.gov/pubmed/2396672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cbi.nlm.nih.gov/pubmed/24052646" TargetMode="External"/><Relationship Id="rId14" Type="http://schemas.openxmlformats.org/officeDocument/2006/relationships/hyperlink" Target="http://www.ncbi.nlm.nih.gov/pubmed/23518621" TargetMode="External"/></Relationships>
</file>

<file path=word/_rels/header2.xml.rels><?xml version="1.0" encoding="UTF-8" standalone="yes"?>
<Relationships xmlns="http://schemas.openxmlformats.org/package/2006/relationships"><Relationship Id="rId8" Type="http://schemas.openxmlformats.org/officeDocument/2006/relationships/hyperlink" Target="mailto:cipher@unc.edu" TargetMode="External"/><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AC3C5-994C-4AB3-AF70-F2FE1C8B4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6688</Words>
  <Characters>36652</Characters>
  <Application>Microsoft Office Word</Application>
  <DocSecurity>0</DocSecurity>
  <Lines>1357</Lines>
  <Paragraphs>802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Jacqui</dc:creator>
  <cp:keywords/>
  <dc:description/>
  <cp:lastModifiedBy>Charamut, Susan R.</cp:lastModifiedBy>
  <cp:revision>3</cp:revision>
  <dcterms:created xsi:type="dcterms:W3CDTF">2020-10-09T12:20:00Z</dcterms:created>
  <dcterms:modified xsi:type="dcterms:W3CDTF">2020-10-09T12:43:00Z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1218023</vt:lpwstr>
  </property>
  <property fmtid="{D5CDD505-2E9C-101B-9397-08002B2CF9AE}" pid="3" name="InsertAsFootnote">
    <vt:lpwstr>False</vt:lpwstr>
  </property>
  <property fmtid="{D5CDD505-2E9C-101B-9397-08002B2CF9AE}" pid="4" name="ProjectId">
    <vt:lpwstr>0</vt:lpwstr>
  </property>
  <property fmtid="{D5CDD505-2E9C-101B-9397-08002B2CF9AE}" pid="5" name="StyleId">
    <vt:lpwstr>http://www.zotero.org/styles/vancouver</vt:lpwstr>
  </property>
</Properties>
</file>